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B9" w:rsidRDefault="005B4EB9" w:rsidP="005B4EB9">
      <w:pPr>
        <w:tabs>
          <w:tab w:val="left" w:pos="7710"/>
        </w:tabs>
        <w:jc w:val="right"/>
      </w:pPr>
      <w:r w:rsidRPr="0034797B">
        <w:t xml:space="preserve">Załącznik nr 1 do </w:t>
      </w:r>
      <w:r>
        <w:t>Projektu umowy</w:t>
      </w:r>
    </w:p>
    <w:p w:rsidR="005B4EB9" w:rsidRDefault="005B4EB9" w:rsidP="005B4EB9"/>
    <w:p w:rsidR="005B4EB9" w:rsidRDefault="005B4EB9" w:rsidP="005B4EB9">
      <w:pPr>
        <w:jc w:val="center"/>
        <w:rPr>
          <w:rFonts w:ascii="Times New Roman" w:hAnsi="Times New Roman"/>
          <w:b/>
          <w:sz w:val="24"/>
          <w:szCs w:val="24"/>
        </w:rPr>
      </w:pPr>
      <w:r w:rsidRPr="00A65DA9">
        <w:rPr>
          <w:rFonts w:ascii="Times New Roman" w:hAnsi="Times New Roman"/>
          <w:b/>
          <w:sz w:val="24"/>
          <w:szCs w:val="24"/>
        </w:rPr>
        <w:t>OPIS PRZEDMIOTU ZAMÓWIENIA</w:t>
      </w:r>
      <w:r>
        <w:rPr>
          <w:rFonts w:ascii="Times New Roman" w:hAnsi="Times New Roman"/>
          <w:b/>
          <w:sz w:val="24"/>
          <w:szCs w:val="24"/>
        </w:rPr>
        <w:t xml:space="preserve"> (po zmianie)</w:t>
      </w:r>
      <w:bookmarkStart w:id="0" w:name="_GoBack"/>
      <w:bookmarkEnd w:id="0"/>
    </w:p>
    <w:p w:rsidR="005B4EB9" w:rsidRDefault="005B4EB9" w:rsidP="005B4EB9">
      <w:pPr>
        <w:jc w:val="center"/>
        <w:rPr>
          <w:rFonts w:ascii="Times New Roman" w:hAnsi="Times New Roman"/>
          <w:b/>
          <w:sz w:val="24"/>
          <w:szCs w:val="24"/>
        </w:rPr>
      </w:pPr>
      <w:r>
        <w:rPr>
          <w:rFonts w:ascii="Times New Roman" w:hAnsi="Times New Roman"/>
          <w:b/>
          <w:sz w:val="24"/>
          <w:szCs w:val="24"/>
        </w:rPr>
        <w:t xml:space="preserve">(SPECYFIKACJA TECHNICZNA – </w:t>
      </w:r>
      <w:r w:rsidRPr="00A65DA9">
        <w:rPr>
          <w:rFonts w:ascii="Times New Roman" w:hAnsi="Times New Roman"/>
          <w:b/>
          <w:sz w:val="24"/>
          <w:szCs w:val="24"/>
        </w:rPr>
        <w:t>wymagania minimalne)</w:t>
      </w:r>
    </w:p>
    <w:p w:rsidR="005B4EB9" w:rsidRPr="008B744D" w:rsidRDefault="005B4EB9" w:rsidP="005B4EB9">
      <w:pPr>
        <w:jc w:val="center"/>
        <w:rPr>
          <w:rFonts w:ascii="Times New Roman" w:hAnsi="Times New Roman"/>
          <w:b/>
          <w:sz w:val="24"/>
          <w:szCs w:val="24"/>
        </w:rPr>
      </w:pPr>
    </w:p>
    <w:tbl>
      <w:tblPr>
        <w:tblW w:w="9016" w:type="dxa"/>
        <w:tblCellMar>
          <w:left w:w="70" w:type="dxa"/>
          <w:right w:w="70" w:type="dxa"/>
        </w:tblCellMar>
        <w:tblLook w:val="04A0" w:firstRow="1" w:lastRow="0" w:firstColumn="1" w:lastColumn="0" w:noHBand="0" w:noVBand="1"/>
      </w:tblPr>
      <w:tblGrid>
        <w:gridCol w:w="368"/>
        <w:gridCol w:w="1307"/>
        <w:gridCol w:w="7341"/>
      </w:tblGrid>
      <w:tr w:rsidR="005B4EB9" w:rsidRPr="001F304F" w:rsidTr="00AC2046">
        <w:trPr>
          <w:trHeight w:val="252"/>
        </w:trPr>
        <w:tc>
          <w:tcPr>
            <w:tcW w:w="9016" w:type="dxa"/>
            <w:gridSpan w:val="3"/>
            <w:tcBorders>
              <w:top w:val="single" w:sz="12" w:space="0" w:color="auto"/>
              <w:left w:val="single" w:sz="12" w:space="0" w:color="auto"/>
              <w:bottom w:val="single" w:sz="12" w:space="0" w:color="FF0000"/>
              <w:right w:val="single" w:sz="12" w:space="0" w:color="auto"/>
            </w:tcBorders>
            <w:shd w:val="clear" w:color="auto" w:fill="9CC2E5" w:themeFill="accent1" w:themeFillTint="99"/>
            <w:vAlign w:val="center"/>
          </w:tcPr>
          <w:p w:rsidR="005B4EB9" w:rsidRPr="00B33A35" w:rsidRDefault="005B4EB9" w:rsidP="00AC2046">
            <w:pPr>
              <w:spacing w:before="240"/>
              <w:jc w:val="center"/>
              <w:rPr>
                <w:b/>
              </w:rPr>
            </w:pPr>
            <w:r w:rsidRPr="00B33A35">
              <w:rPr>
                <w:b/>
              </w:rPr>
              <w:t xml:space="preserve">CZĘŚĆ </w:t>
            </w:r>
            <w:r>
              <w:rPr>
                <w:b/>
              </w:rPr>
              <w:t>NR</w:t>
            </w:r>
            <w:r w:rsidRPr="00B33A35">
              <w:rPr>
                <w:b/>
              </w:rPr>
              <w:t xml:space="preserve"> 1</w:t>
            </w:r>
          </w:p>
          <w:p w:rsidR="005B4EB9" w:rsidRPr="00B33A35" w:rsidRDefault="005B4EB9" w:rsidP="00AC2046">
            <w:pPr>
              <w:spacing w:line="276" w:lineRule="auto"/>
              <w:jc w:val="center"/>
            </w:pPr>
            <w:r w:rsidRPr="00B33A35">
              <w:t>Dostawa samochodu osobowego</w:t>
            </w:r>
            <w:r>
              <w:t xml:space="preserve"> minimum</w:t>
            </w:r>
            <w:r w:rsidRPr="00B33A35">
              <w:t xml:space="preserve"> klasy średniej </w:t>
            </w:r>
            <w:r>
              <w:t xml:space="preserve">z </w:t>
            </w:r>
            <w:r w:rsidRPr="00B33A35">
              <w:t>segment</w:t>
            </w:r>
            <w:r>
              <w:t>u</w:t>
            </w:r>
            <w:r w:rsidRPr="00B33A35">
              <w:t xml:space="preserve"> "D" według klasyfikacji pojazdów zgodnej z raportem Instytutu Ba</w:t>
            </w:r>
            <w:r>
              <w:t>dań Rynku Motoryzacyjnego SAMAR. Typ hatchback lub sedan.</w:t>
            </w:r>
            <w:r w:rsidRPr="00B33A35">
              <w:t xml:space="preserve"> Samochód musi być rejestrowany w dowodzie</w:t>
            </w:r>
            <w:r>
              <w:t xml:space="preserve"> rejestracyjnym na 5 miejsc.</w:t>
            </w:r>
          </w:p>
          <w:p w:rsidR="005B4EB9" w:rsidRPr="001F304F" w:rsidRDefault="005B4EB9" w:rsidP="00AC2046">
            <w:pPr>
              <w:spacing w:after="0" w:line="240" w:lineRule="auto"/>
              <w:jc w:val="center"/>
              <w:rPr>
                <w:rFonts w:ascii="Calibri" w:eastAsia="Times New Roman" w:hAnsi="Calibri" w:cs="Times New Roman"/>
                <w:b/>
                <w:bCs/>
                <w:color w:val="FFFFFF"/>
                <w:sz w:val="16"/>
                <w:szCs w:val="16"/>
                <w:lang w:eastAsia="pl-PL"/>
              </w:rPr>
            </w:pPr>
          </w:p>
        </w:tc>
      </w:tr>
      <w:tr w:rsidR="005B4EB9" w:rsidRPr="001F304F" w:rsidTr="00AC2046">
        <w:trPr>
          <w:trHeight w:val="252"/>
        </w:trPr>
        <w:tc>
          <w:tcPr>
            <w:tcW w:w="368" w:type="dxa"/>
            <w:tcBorders>
              <w:top w:val="single" w:sz="12" w:space="0" w:color="auto"/>
              <w:left w:val="single" w:sz="12" w:space="0" w:color="auto"/>
              <w:bottom w:val="single" w:sz="12" w:space="0" w:color="auto"/>
              <w:right w:val="single" w:sz="4" w:space="0" w:color="auto"/>
            </w:tcBorders>
            <w:shd w:val="clear" w:color="000000" w:fill="0070C0"/>
            <w:vAlign w:val="center"/>
            <w:hideMark/>
          </w:tcPr>
          <w:p w:rsidR="005B4EB9" w:rsidRPr="001F304F" w:rsidRDefault="005B4EB9" w:rsidP="00AC2046">
            <w:pPr>
              <w:spacing w:after="0" w:line="240" w:lineRule="auto"/>
              <w:jc w:val="center"/>
              <w:rPr>
                <w:rFonts w:ascii="Calibri" w:eastAsia="Times New Roman" w:hAnsi="Calibri" w:cs="Times New Roman"/>
                <w:b/>
                <w:bCs/>
                <w:color w:val="FFFFFF"/>
                <w:sz w:val="18"/>
                <w:szCs w:val="18"/>
                <w:lang w:eastAsia="pl-PL"/>
              </w:rPr>
            </w:pPr>
            <w:r w:rsidRPr="001F304F">
              <w:rPr>
                <w:rFonts w:ascii="Calibri" w:eastAsia="Times New Roman" w:hAnsi="Calibri" w:cs="Times New Roman"/>
                <w:b/>
                <w:bCs/>
                <w:color w:val="FFFFFF"/>
                <w:sz w:val="18"/>
                <w:szCs w:val="18"/>
                <w:lang w:eastAsia="pl-PL"/>
              </w:rPr>
              <w:t>Lp.</w:t>
            </w:r>
          </w:p>
        </w:tc>
        <w:tc>
          <w:tcPr>
            <w:tcW w:w="1307" w:type="dxa"/>
            <w:tcBorders>
              <w:top w:val="single" w:sz="12" w:space="0" w:color="auto"/>
              <w:left w:val="nil"/>
              <w:bottom w:val="single" w:sz="12" w:space="0" w:color="auto"/>
              <w:right w:val="single" w:sz="4" w:space="0" w:color="auto"/>
            </w:tcBorders>
            <w:shd w:val="clear" w:color="000000" w:fill="0070C0"/>
            <w:vAlign w:val="center"/>
            <w:hideMark/>
          </w:tcPr>
          <w:p w:rsidR="005B4EB9" w:rsidRPr="001F304F" w:rsidRDefault="005B4EB9" w:rsidP="00AC2046">
            <w:pPr>
              <w:spacing w:after="0" w:line="240" w:lineRule="auto"/>
              <w:jc w:val="center"/>
              <w:rPr>
                <w:rFonts w:ascii="Calibri" w:eastAsia="Times New Roman" w:hAnsi="Calibri" w:cs="Times New Roman"/>
                <w:b/>
                <w:bCs/>
                <w:color w:val="FFFFFF"/>
                <w:sz w:val="18"/>
                <w:szCs w:val="18"/>
                <w:lang w:eastAsia="pl-PL"/>
              </w:rPr>
            </w:pPr>
            <w:r w:rsidRPr="001F304F">
              <w:rPr>
                <w:rFonts w:ascii="Calibri" w:eastAsia="Times New Roman" w:hAnsi="Calibri" w:cs="Times New Roman"/>
                <w:b/>
                <w:bCs/>
                <w:color w:val="FFFFFF"/>
                <w:sz w:val="18"/>
                <w:szCs w:val="18"/>
                <w:lang w:eastAsia="pl-PL"/>
              </w:rPr>
              <w:t>Parametr</w:t>
            </w:r>
          </w:p>
        </w:tc>
        <w:tc>
          <w:tcPr>
            <w:tcW w:w="7341" w:type="dxa"/>
            <w:tcBorders>
              <w:top w:val="single" w:sz="12" w:space="0" w:color="auto"/>
              <w:left w:val="nil"/>
              <w:bottom w:val="single" w:sz="12" w:space="0" w:color="auto"/>
              <w:right w:val="single" w:sz="12" w:space="0" w:color="auto"/>
            </w:tcBorders>
            <w:shd w:val="clear" w:color="000000" w:fill="0070C0"/>
            <w:vAlign w:val="center"/>
            <w:hideMark/>
          </w:tcPr>
          <w:p w:rsidR="005B4EB9" w:rsidRPr="001F304F" w:rsidRDefault="005B4EB9" w:rsidP="00AC2046">
            <w:pPr>
              <w:spacing w:after="0" w:line="240" w:lineRule="auto"/>
              <w:jc w:val="center"/>
              <w:rPr>
                <w:rFonts w:ascii="Calibri" w:eastAsia="Times New Roman" w:hAnsi="Calibri" w:cs="Times New Roman"/>
                <w:b/>
                <w:bCs/>
                <w:color w:val="FFFFFF"/>
                <w:sz w:val="16"/>
                <w:szCs w:val="16"/>
                <w:lang w:eastAsia="pl-PL"/>
              </w:rPr>
            </w:pPr>
            <w:r w:rsidRPr="001F304F">
              <w:rPr>
                <w:rFonts w:ascii="Calibri" w:eastAsia="Times New Roman" w:hAnsi="Calibri" w:cs="Times New Roman"/>
                <w:b/>
                <w:bCs/>
                <w:color w:val="FFFFFF"/>
                <w:sz w:val="16"/>
                <w:szCs w:val="16"/>
                <w:lang w:eastAsia="pl-PL"/>
              </w:rPr>
              <w:t>Wymagania zamawiającego</w:t>
            </w:r>
          </w:p>
        </w:tc>
      </w:tr>
      <w:tr w:rsidR="005B4EB9" w:rsidRPr="001F304F" w:rsidTr="00AC2046">
        <w:trPr>
          <w:trHeight w:val="356"/>
        </w:trPr>
        <w:tc>
          <w:tcPr>
            <w:tcW w:w="368" w:type="dxa"/>
            <w:vMerge w:val="restart"/>
            <w:tcBorders>
              <w:top w:val="single" w:sz="12" w:space="0" w:color="auto"/>
              <w:left w:val="single" w:sz="12" w:space="0" w:color="auto"/>
              <w:bottom w:val="single" w:sz="12" w:space="0" w:color="000000"/>
              <w:right w:val="single" w:sz="4" w:space="0" w:color="auto"/>
            </w:tcBorders>
            <w:shd w:val="clear" w:color="000000" w:fill="DDEBF7"/>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1.</w:t>
            </w:r>
          </w:p>
        </w:tc>
        <w:tc>
          <w:tcPr>
            <w:tcW w:w="1307" w:type="dxa"/>
            <w:vMerge w:val="restart"/>
            <w:tcBorders>
              <w:top w:val="single" w:sz="12" w:space="0" w:color="auto"/>
              <w:left w:val="single" w:sz="4" w:space="0" w:color="auto"/>
              <w:bottom w:val="single" w:sz="12" w:space="0" w:color="000000"/>
              <w:right w:val="single" w:sz="4" w:space="0" w:color="auto"/>
            </w:tcBorders>
            <w:shd w:val="clear" w:color="000000" w:fill="DDEBF7"/>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Nadwozie</w:t>
            </w:r>
          </w:p>
        </w:tc>
        <w:tc>
          <w:tcPr>
            <w:tcW w:w="7341" w:type="dxa"/>
            <w:tcBorders>
              <w:top w:val="single" w:sz="12" w:space="0" w:color="auto"/>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1</w:t>
            </w:r>
            <w:r w:rsidRPr="001F304F">
              <w:rPr>
                <w:rFonts w:ascii="Calibri" w:eastAsia="Times New Roman" w:hAnsi="Calibri" w:cs="Times New Roman"/>
                <w:color w:val="000000"/>
                <w:sz w:val="16"/>
                <w:szCs w:val="16"/>
                <w:lang w:eastAsia="pl-PL"/>
              </w:rPr>
              <w:t>. Para drzwi bocznych skrzydłowych po obu stronach pojazdu + klapa przestrzeni bagażowej;</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2</w:t>
            </w:r>
            <w:r w:rsidRPr="001F304F">
              <w:rPr>
                <w:rFonts w:ascii="Calibri" w:eastAsia="Times New Roman" w:hAnsi="Calibri" w:cs="Times New Roman"/>
                <w:color w:val="000000"/>
                <w:sz w:val="16"/>
                <w:szCs w:val="16"/>
                <w:lang w:eastAsia="pl-PL"/>
              </w:rPr>
              <w:t>. Wszystkie drzwi przeszklone;</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3</w:t>
            </w:r>
            <w:r w:rsidRPr="001F304F">
              <w:rPr>
                <w:rFonts w:ascii="Calibri" w:eastAsia="Times New Roman" w:hAnsi="Calibri" w:cs="Times New Roman"/>
                <w:color w:val="000000"/>
                <w:sz w:val="16"/>
                <w:szCs w:val="16"/>
                <w:lang w:eastAsia="pl-PL"/>
              </w:rPr>
              <w:t>. Rozstaw osi nie mniejszy niż 2750 mm;</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4</w:t>
            </w:r>
            <w:r w:rsidRPr="001F304F">
              <w:rPr>
                <w:rFonts w:ascii="Calibri" w:eastAsia="Times New Roman" w:hAnsi="Calibri" w:cs="Times New Roman"/>
                <w:color w:val="000000"/>
                <w:sz w:val="16"/>
                <w:szCs w:val="16"/>
                <w:lang w:eastAsia="pl-PL"/>
              </w:rPr>
              <w:t>. Długość całkowita pojazdu nie mniejsza niż 4750 mm;</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5</w:t>
            </w:r>
            <w:r w:rsidRPr="001F304F">
              <w:rPr>
                <w:rFonts w:ascii="Calibri" w:eastAsia="Times New Roman" w:hAnsi="Calibri" w:cs="Times New Roman"/>
                <w:color w:val="000000"/>
                <w:sz w:val="16"/>
                <w:szCs w:val="16"/>
                <w:lang w:eastAsia="pl-PL"/>
              </w:rPr>
              <w:t>. Wysokość całkowita pojazdu nie mniejsza niż 1450 mm;</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12" w:space="0" w:color="auto"/>
              <w:right w:val="single" w:sz="12" w:space="0" w:color="auto"/>
            </w:tcBorders>
            <w:shd w:val="clear" w:color="000000" w:fill="DDEBF7"/>
            <w:vAlign w:val="center"/>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6. Pojemność bagażnika min. 55</w:t>
            </w:r>
            <w:r w:rsidRPr="001F304F">
              <w:rPr>
                <w:rFonts w:ascii="Calibri" w:eastAsia="Times New Roman" w:hAnsi="Calibri" w:cs="Times New Roman"/>
                <w:color w:val="000000"/>
                <w:sz w:val="16"/>
                <w:szCs w:val="16"/>
                <w:lang w:eastAsia="pl-PL"/>
              </w:rPr>
              <w:t>0 l;</w:t>
            </w:r>
          </w:p>
        </w:tc>
      </w:tr>
      <w:tr w:rsidR="005B4EB9" w:rsidRPr="001F304F" w:rsidTr="00AC2046">
        <w:trPr>
          <w:trHeight w:val="252"/>
        </w:trPr>
        <w:tc>
          <w:tcPr>
            <w:tcW w:w="368" w:type="dxa"/>
            <w:tcBorders>
              <w:top w:val="nil"/>
              <w:left w:val="single" w:sz="12" w:space="0" w:color="auto"/>
              <w:bottom w:val="single" w:sz="12" w:space="0" w:color="auto"/>
              <w:right w:val="single" w:sz="4" w:space="0" w:color="auto"/>
            </w:tcBorders>
            <w:shd w:val="clear" w:color="000000" w:fill="9BC2E6"/>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2.</w:t>
            </w:r>
          </w:p>
        </w:tc>
        <w:tc>
          <w:tcPr>
            <w:tcW w:w="1307" w:type="dxa"/>
            <w:tcBorders>
              <w:top w:val="nil"/>
              <w:left w:val="nil"/>
              <w:bottom w:val="single" w:sz="12" w:space="0" w:color="auto"/>
              <w:right w:val="single" w:sz="4" w:space="0" w:color="auto"/>
            </w:tcBorders>
            <w:shd w:val="clear" w:color="000000" w:fill="9BC2E6"/>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Rok produkcji</w:t>
            </w:r>
          </w:p>
        </w:tc>
        <w:tc>
          <w:tcPr>
            <w:tcW w:w="7341" w:type="dxa"/>
            <w:tcBorders>
              <w:top w:val="single" w:sz="12" w:space="0" w:color="auto"/>
              <w:left w:val="nil"/>
              <w:bottom w:val="single" w:sz="12" w:space="0" w:color="auto"/>
              <w:right w:val="single" w:sz="12" w:space="0" w:color="auto"/>
            </w:tcBorders>
            <w:shd w:val="clear" w:color="000000" w:fill="9BC2E6"/>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1. </w:t>
            </w:r>
            <w:r w:rsidRPr="001F304F">
              <w:rPr>
                <w:rFonts w:ascii="Calibri" w:eastAsia="Times New Roman" w:hAnsi="Calibri" w:cs="Times New Roman"/>
                <w:color w:val="000000"/>
                <w:sz w:val="16"/>
                <w:szCs w:val="16"/>
                <w:lang w:eastAsia="pl-PL"/>
              </w:rPr>
              <w:t>Wyprodukowany nie wcześniej niż w 2018 r., fabrycznie nowy;</w:t>
            </w:r>
          </w:p>
        </w:tc>
      </w:tr>
      <w:tr w:rsidR="005B4EB9" w:rsidRPr="001F304F" w:rsidTr="00AC2046">
        <w:trPr>
          <w:trHeight w:val="240"/>
        </w:trPr>
        <w:tc>
          <w:tcPr>
            <w:tcW w:w="368" w:type="dxa"/>
            <w:vMerge w:val="restart"/>
            <w:tcBorders>
              <w:top w:val="nil"/>
              <w:left w:val="single" w:sz="12" w:space="0" w:color="auto"/>
              <w:bottom w:val="single" w:sz="4" w:space="0" w:color="auto"/>
              <w:right w:val="single" w:sz="4" w:space="0" w:color="auto"/>
            </w:tcBorders>
            <w:shd w:val="clear" w:color="000000" w:fill="DDEBF7"/>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3.</w:t>
            </w:r>
          </w:p>
        </w:tc>
        <w:tc>
          <w:tcPr>
            <w:tcW w:w="1307" w:type="dxa"/>
            <w:vMerge w:val="restart"/>
            <w:tcBorders>
              <w:top w:val="nil"/>
              <w:left w:val="single" w:sz="4" w:space="0" w:color="auto"/>
              <w:bottom w:val="single" w:sz="4" w:space="0" w:color="auto"/>
              <w:right w:val="single" w:sz="4" w:space="0" w:color="auto"/>
            </w:tcBorders>
            <w:shd w:val="clear" w:color="000000" w:fill="DDEBF7"/>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Silnik</w:t>
            </w:r>
          </w:p>
        </w:tc>
        <w:tc>
          <w:tcPr>
            <w:tcW w:w="7341" w:type="dxa"/>
            <w:tcBorders>
              <w:top w:val="nil"/>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 Pojemność silnika nie mniejsza niż 1980 cm</w:t>
            </w:r>
            <w:r w:rsidRPr="001F304F">
              <w:rPr>
                <w:rFonts w:ascii="Calibri" w:eastAsia="Times New Roman" w:hAnsi="Calibri" w:cs="Times New Roman"/>
                <w:color w:val="000000"/>
                <w:sz w:val="16"/>
                <w:szCs w:val="16"/>
                <w:vertAlign w:val="superscript"/>
                <w:lang w:eastAsia="pl-PL"/>
              </w:rPr>
              <w:t>3</w:t>
            </w:r>
            <w:r w:rsidRPr="001F304F">
              <w:rPr>
                <w:rFonts w:ascii="Calibri" w:eastAsia="Times New Roman" w:hAnsi="Calibri" w:cs="Times New Roman"/>
                <w:color w:val="000000"/>
                <w:sz w:val="16"/>
                <w:szCs w:val="16"/>
                <w:lang w:eastAsia="pl-PL"/>
              </w:rPr>
              <w:t>;</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 Moc silnika nie mniejsza niż 200 KM;</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3. Rodzaj paliwa – benzyna;</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4. Emisja dwutlenku węgla maks. 160 g/km;</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5. Zużycie paliwa w cyklu mieszanym - nie większe ni</w:t>
            </w:r>
            <w:r w:rsidRPr="001F304F">
              <w:rPr>
                <w:rFonts w:ascii="Calibri" w:eastAsia="Times New Roman" w:hAnsi="Calibri" w:cs="Times New Roman"/>
                <w:sz w:val="16"/>
                <w:szCs w:val="16"/>
                <w:lang w:eastAsia="pl-PL"/>
              </w:rPr>
              <w:t>ż 9,0 litra/100 km;</w:t>
            </w:r>
          </w:p>
        </w:tc>
      </w:tr>
      <w:tr w:rsidR="005B4EB9" w:rsidRPr="001F304F" w:rsidTr="00AC2046">
        <w:trPr>
          <w:trHeight w:val="356"/>
        </w:trPr>
        <w:tc>
          <w:tcPr>
            <w:tcW w:w="368" w:type="dxa"/>
            <w:vMerge/>
            <w:tcBorders>
              <w:top w:val="nil"/>
              <w:left w:val="single" w:sz="12"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6. Dopuszczalna emisja zanieczyszczeń, tlenku azotu, cząstek stałych oraz węglowodorów spełniająca wymogi minimum dla Europejskiego standardu Emisji Spalin EURO 6;</w:t>
            </w:r>
          </w:p>
        </w:tc>
      </w:tr>
      <w:tr w:rsidR="005B4EB9" w:rsidRPr="001F304F" w:rsidTr="00AC2046">
        <w:trPr>
          <w:trHeight w:val="252"/>
        </w:trPr>
        <w:tc>
          <w:tcPr>
            <w:tcW w:w="368" w:type="dxa"/>
            <w:vMerge w:val="restart"/>
            <w:tcBorders>
              <w:top w:val="single" w:sz="12" w:space="0" w:color="auto"/>
              <w:left w:val="single" w:sz="12" w:space="0" w:color="auto"/>
              <w:bottom w:val="single" w:sz="12" w:space="0" w:color="000000"/>
              <w:right w:val="single" w:sz="4" w:space="0" w:color="auto"/>
            </w:tcBorders>
            <w:shd w:val="clear" w:color="000000" w:fill="9BC2E6"/>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4.</w:t>
            </w:r>
          </w:p>
        </w:tc>
        <w:tc>
          <w:tcPr>
            <w:tcW w:w="1307" w:type="dxa"/>
            <w:vMerge w:val="restart"/>
            <w:tcBorders>
              <w:top w:val="single" w:sz="12" w:space="0" w:color="auto"/>
              <w:left w:val="single" w:sz="4" w:space="0" w:color="auto"/>
              <w:bottom w:val="single" w:sz="12" w:space="0" w:color="000000"/>
              <w:right w:val="single" w:sz="4" w:space="0" w:color="auto"/>
            </w:tcBorders>
            <w:shd w:val="clear" w:color="000000" w:fill="9BC2E6"/>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Układy</w:t>
            </w:r>
          </w:p>
        </w:tc>
        <w:tc>
          <w:tcPr>
            <w:tcW w:w="7341" w:type="dxa"/>
            <w:tcBorders>
              <w:top w:val="single" w:sz="12" w:space="0" w:color="auto"/>
              <w:left w:val="nil"/>
              <w:bottom w:val="single" w:sz="4" w:space="0" w:color="auto"/>
              <w:right w:val="single" w:sz="12" w:space="0" w:color="auto"/>
            </w:tcBorders>
            <w:shd w:val="clear" w:color="000000" w:fill="9BC2E6"/>
            <w:vAlign w:val="center"/>
            <w:hideMark/>
          </w:tcPr>
          <w:p w:rsidR="005B4EB9" w:rsidRPr="001F304F" w:rsidRDefault="005B4EB9" w:rsidP="00AC2046">
            <w:pPr>
              <w:spacing w:after="0" w:line="240" w:lineRule="auto"/>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 Napędowy:</w:t>
            </w:r>
          </w:p>
        </w:tc>
      </w:tr>
      <w:tr w:rsidR="005B4EB9" w:rsidRPr="001F304F" w:rsidTr="00AC2046">
        <w:trPr>
          <w:trHeight w:val="252"/>
        </w:trPr>
        <w:tc>
          <w:tcPr>
            <w:tcW w:w="368" w:type="dxa"/>
            <w:vMerge/>
            <w:tcBorders>
              <w:top w:val="single" w:sz="12" w:space="0" w:color="auto"/>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9BC2E6"/>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 </w:t>
            </w:r>
            <w:r w:rsidRPr="001F304F">
              <w:rPr>
                <w:rFonts w:ascii="Calibri" w:eastAsia="Times New Roman" w:hAnsi="Calibri" w:cs="Times New Roman"/>
                <w:color w:val="000000"/>
                <w:sz w:val="16"/>
                <w:szCs w:val="16"/>
                <w:lang w:eastAsia="pl-PL"/>
              </w:rPr>
              <w:t>napęd na przednią oś,</w:t>
            </w:r>
          </w:p>
        </w:tc>
      </w:tr>
      <w:tr w:rsidR="005B4EB9" w:rsidRPr="001F304F" w:rsidTr="00AC2046">
        <w:trPr>
          <w:trHeight w:val="240"/>
        </w:trPr>
        <w:tc>
          <w:tcPr>
            <w:tcW w:w="368" w:type="dxa"/>
            <w:vMerge/>
            <w:tcBorders>
              <w:top w:val="single" w:sz="12" w:space="0" w:color="auto"/>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9BC2E6"/>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 </w:t>
            </w:r>
            <w:r w:rsidRPr="001F304F">
              <w:rPr>
                <w:rFonts w:ascii="Calibri" w:eastAsia="Times New Roman" w:hAnsi="Calibri" w:cs="Times New Roman"/>
                <w:color w:val="000000"/>
                <w:sz w:val="16"/>
                <w:szCs w:val="16"/>
                <w:lang w:eastAsia="pl-PL"/>
              </w:rPr>
              <w:t>skrzynia biegów: minimum 6 biegów + wsteczny;</w:t>
            </w:r>
          </w:p>
        </w:tc>
      </w:tr>
      <w:tr w:rsidR="005B4EB9" w:rsidRPr="001F304F" w:rsidTr="00AC2046">
        <w:trPr>
          <w:trHeight w:val="228"/>
        </w:trPr>
        <w:tc>
          <w:tcPr>
            <w:tcW w:w="368" w:type="dxa"/>
            <w:vMerge/>
            <w:tcBorders>
              <w:top w:val="single" w:sz="12" w:space="0" w:color="auto"/>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9BC2E6"/>
            <w:vAlign w:val="center"/>
            <w:hideMark/>
          </w:tcPr>
          <w:p w:rsidR="005B4EB9" w:rsidRPr="001F304F" w:rsidRDefault="005B4EB9" w:rsidP="00AC2046">
            <w:pPr>
              <w:spacing w:after="0" w:line="240" w:lineRule="auto"/>
              <w:jc w:val="both"/>
              <w:rPr>
                <w:rFonts w:ascii="Calibri Light" w:eastAsia="Times New Roman" w:hAnsi="Calibri Light" w:cs="Times New Roman"/>
                <w:color w:val="000000"/>
                <w:sz w:val="16"/>
                <w:szCs w:val="16"/>
                <w:lang w:eastAsia="pl-PL"/>
              </w:rPr>
            </w:pPr>
            <w:r w:rsidRPr="001F304F">
              <w:rPr>
                <w:rFonts w:ascii="Calibri Light" w:eastAsia="Times New Roman" w:hAnsi="Calibri Light" w:cs="Times New Roman"/>
                <w:color w:val="000000"/>
                <w:sz w:val="16"/>
                <w:szCs w:val="16"/>
                <w:lang w:eastAsia="pl-PL"/>
              </w:rPr>
              <w:t>2. Kierowania:</w:t>
            </w:r>
          </w:p>
        </w:tc>
      </w:tr>
      <w:tr w:rsidR="005B4EB9" w:rsidRPr="001F304F" w:rsidTr="00AC2046">
        <w:trPr>
          <w:trHeight w:val="228"/>
        </w:trPr>
        <w:tc>
          <w:tcPr>
            <w:tcW w:w="368" w:type="dxa"/>
            <w:vMerge/>
            <w:tcBorders>
              <w:top w:val="single" w:sz="12" w:space="0" w:color="auto"/>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9BC2E6"/>
            <w:vAlign w:val="center"/>
            <w:hideMark/>
          </w:tcPr>
          <w:p w:rsidR="005B4EB9" w:rsidRPr="001F304F" w:rsidRDefault="005B4EB9" w:rsidP="00AC2046">
            <w:pPr>
              <w:spacing w:after="0" w:line="240" w:lineRule="auto"/>
              <w:jc w:val="both"/>
              <w:rPr>
                <w:rFonts w:ascii="Calibri Light" w:eastAsia="Times New Roman" w:hAnsi="Calibri Light" w:cs="Times New Roman"/>
                <w:color w:val="000000"/>
                <w:sz w:val="16"/>
                <w:szCs w:val="16"/>
                <w:lang w:eastAsia="pl-PL"/>
              </w:rPr>
            </w:pPr>
            <w:r>
              <w:rPr>
                <w:rFonts w:ascii="Calibri Light" w:eastAsia="Times New Roman" w:hAnsi="Calibri Light" w:cs="Times New Roman"/>
                <w:color w:val="000000"/>
                <w:sz w:val="16"/>
                <w:szCs w:val="16"/>
                <w:lang w:eastAsia="pl-PL"/>
              </w:rPr>
              <w:t xml:space="preserve">- </w:t>
            </w:r>
            <w:r w:rsidRPr="001F304F">
              <w:rPr>
                <w:rFonts w:ascii="Calibri Light" w:eastAsia="Times New Roman" w:hAnsi="Calibri Light" w:cs="Times New Roman"/>
                <w:color w:val="000000"/>
                <w:sz w:val="16"/>
                <w:szCs w:val="16"/>
                <w:lang w:eastAsia="pl-PL"/>
              </w:rPr>
              <w:t>układ kierowniczy ze wspomaganiem,</w:t>
            </w:r>
          </w:p>
        </w:tc>
      </w:tr>
      <w:tr w:rsidR="005B4EB9" w:rsidRPr="001F304F" w:rsidTr="00AC2046">
        <w:trPr>
          <w:trHeight w:val="228"/>
        </w:trPr>
        <w:tc>
          <w:tcPr>
            <w:tcW w:w="368" w:type="dxa"/>
            <w:vMerge/>
            <w:tcBorders>
              <w:top w:val="single" w:sz="12" w:space="0" w:color="auto"/>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9BC2E6"/>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 </w:t>
            </w:r>
            <w:r w:rsidRPr="001F304F">
              <w:rPr>
                <w:rFonts w:ascii="Calibri" w:eastAsia="Times New Roman" w:hAnsi="Calibri" w:cs="Times New Roman"/>
                <w:color w:val="000000"/>
                <w:sz w:val="16"/>
                <w:szCs w:val="16"/>
                <w:lang w:eastAsia="pl-PL"/>
              </w:rPr>
              <w:t>kierownica z lewej strony,</w:t>
            </w:r>
          </w:p>
        </w:tc>
      </w:tr>
      <w:tr w:rsidR="005B4EB9" w:rsidRPr="001F304F" w:rsidTr="00AC2046">
        <w:trPr>
          <w:trHeight w:val="240"/>
        </w:trPr>
        <w:tc>
          <w:tcPr>
            <w:tcW w:w="368" w:type="dxa"/>
            <w:vMerge/>
            <w:tcBorders>
              <w:top w:val="single" w:sz="12" w:space="0" w:color="auto"/>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12" w:space="0" w:color="auto"/>
              <w:right w:val="single" w:sz="12" w:space="0" w:color="auto"/>
            </w:tcBorders>
            <w:shd w:val="clear" w:color="000000" w:fill="9BC2E6"/>
            <w:vAlign w:val="center"/>
            <w:hideMark/>
          </w:tcPr>
          <w:p w:rsidR="005B4EB9" w:rsidRPr="001F304F" w:rsidRDefault="005B4EB9" w:rsidP="00AC2046">
            <w:pPr>
              <w:spacing w:after="0" w:line="240" w:lineRule="auto"/>
              <w:jc w:val="both"/>
              <w:rPr>
                <w:rFonts w:ascii="Calibri Light" w:eastAsia="Times New Roman" w:hAnsi="Calibri Light" w:cs="Times New Roman"/>
                <w:color w:val="000000"/>
                <w:sz w:val="16"/>
                <w:szCs w:val="16"/>
                <w:lang w:eastAsia="pl-PL"/>
              </w:rPr>
            </w:pPr>
            <w:r>
              <w:rPr>
                <w:rFonts w:ascii="Calibri Light" w:eastAsia="Times New Roman" w:hAnsi="Calibri Light" w:cs="Times New Roman"/>
                <w:color w:val="000000"/>
                <w:sz w:val="16"/>
                <w:szCs w:val="16"/>
                <w:lang w:eastAsia="pl-PL"/>
              </w:rPr>
              <w:t xml:space="preserve">- </w:t>
            </w:r>
            <w:r w:rsidRPr="001F304F">
              <w:rPr>
                <w:rFonts w:ascii="Calibri Light" w:eastAsia="Times New Roman" w:hAnsi="Calibri Light" w:cs="Times New Roman"/>
                <w:color w:val="000000"/>
                <w:sz w:val="16"/>
                <w:szCs w:val="16"/>
                <w:lang w:eastAsia="pl-PL"/>
              </w:rPr>
              <w:t>regulacja położenia koła kierownicy i kolumny kierowniczej  w dwóch płaszczyznach (pionowej i poziomej);</w:t>
            </w:r>
          </w:p>
        </w:tc>
      </w:tr>
      <w:tr w:rsidR="005B4EB9" w:rsidRPr="001F304F" w:rsidTr="00AC2046">
        <w:trPr>
          <w:trHeight w:val="240"/>
        </w:trPr>
        <w:tc>
          <w:tcPr>
            <w:tcW w:w="368" w:type="dxa"/>
            <w:vMerge w:val="restart"/>
            <w:tcBorders>
              <w:top w:val="nil"/>
              <w:left w:val="single" w:sz="12" w:space="0" w:color="auto"/>
              <w:bottom w:val="single" w:sz="12" w:space="0" w:color="000000"/>
              <w:right w:val="single" w:sz="4" w:space="0" w:color="auto"/>
            </w:tcBorders>
            <w:shd w:val="clear" w:color="000000" w:fill="DDEBF7"/>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5.</w:t>
            </w:r>
          </w:p>
        </w:tc>
        <w:tc>
          <w:tcPr>
            <w:tcW w:w="1307" w:type="dxa"/>
            <w:vMerge w:val="restart"/>
            <w:tcBorders>
              <w:top w:val="nil"/>
              <w:left w:val="single" w:sz="4" w:space="0" w:color="auto"/>
              <w:bottom w:val="single" w:sz="12" w:space="0" w:color="000000"/>
              <w:right w:val="single" w:sz="4" w:space="0" w:color="auto"/>
            </w:tcBorders>
            <w:shd w:val="clear" w:color="000000" w:fill="DDEBF7"/>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Systemy i inne elementy podnoszące bezpieczeństwo jazdy</w:t>
            </w:r>
          </w:p>
        </w:tc>
        <w:tc>
          <w:tcPr>
            <w:tcW w:w="7341" w:type="dxa"/>
            <w:tcBorders>
              <w:top w:val="nil"/>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 System zapobiegający blokowaniu kół przy hamowaniu;</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 System stabilizacji toru jazdy i  kontroli trakcji;</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3. System wspomagania hamowania awaryjnego;</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nil"/>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4. System zapobiegający poślizgowi kół przy ruszaniu pojazdu;</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nil"/>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5. System ułatwiający ruszanie pod górę;</w:t>
            </w:r>
          </w:p>
        </w:tc>
      </w:tr>
      <w:tr w:rsidR="005B4EB9" w:rsidRPr="001F304F" w:rsidTr="00AC2046">
        <w:trPr>
          <w:trHeight w:val="344"/>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nil"/>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6. Trzypunktowe pasy bezpieczeństwa dla wszystkich miejsc siedzących. Pasy bezpieczeństwa dla foteli przednich z regulacją górnych punktów kotwiczenia i napinaczami;</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nil"/>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7. Poduszki gazowe przednie dla kierowcy i pasażera;</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nil"/>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8. Poduszki gazowe boczne dla kierowcy i pasażera;</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nil"/>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9. Poduszki(a) gazowe kolanowe kierowcy;</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nil"/>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10. Kurtyny gazowe boczne obejmujące swym działaniem pierwszy oraz drugi rząd siedzeń;</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nil"/>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11. Poduszki gazowe boczne dla pasażerów tylnej kanapy;</w:t>
            </w:r>
          </w:p>
        </w:tc>
      </w:tr>
      <w:tr w:rsidR="005B4EB9" w:rsidRPr="001F304F" w:rsidTr="00AC2046">
        <w:trPr>
          <w:trHeight w:val="228"/>
        </w:trPr>
        <w:tc>
          <w:tcPr>
            <w:tcW w:w="368" w:type="dxa"/>
            <w:vMerge/>
            <w:tcBorders>
              <w:top w:val="nil"/>
              <w:left w:val="single" w:sz="12"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nil"/>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12. System kontroli ciśnienia w kołach;</w:t>
            </w:r>
          </w:p>
        </w:tc>
      </w:tr>
      <w:tr w:rsidR="005B4EB9" w:rsidRPr="001F304F" w:rsidTr="00AC2046">
        <w:trPr>
          <w:trHeight w:val="240"/>
        </w:trPr>
        <w:tc>
          <w:tcPr>
            <w:tcW w:w="368" w:type="dxa"/>
            <w:vMerge/>
            <w:tcBorders>
              <w:top w:val="nil"/>
              <w:left w:val="single" w:sz="12"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single" w:sz="4" w:space="0" w:color="auto"/>
              <w:right w:val="single" w:sz="12" w:space="0" w:color="auto"/>
            </w:tcBorders>
            <w:shd w:val="clear" w:color="000000" w:fill="DDEBF7"/>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13. Alarm niezamierzonego przekroczenia linii jezdni;</w:t>
            </w:r>
          </w:p>
        </w:tc>
      </w:tr>
      <w:tr w:rsidR="005B4EB9" w:rsidRPr="001F304F" w:rsidTr="00AC2046">
        <w:trPr>
          <w:trHeight w:val="240"/>
        </w:trPr>
        <w:tc>
          <w:tcPr>
            <w:tcW w:w="368" w:type="dxa"/>
            <w:vMerge w:val="restart"/>
            <w:tcBorders>
              <w:top w:val="single" w:sz="12" w:space="0" w:color="auto"/>
              <w:left w:val="single" w:sz="12"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lastRenderedPageBreak/>
              <w:t>6</w:t>
            </w:r>
            <w:r w:rsidRPr="001F304F">
              <w:rPr>
                <w:rFonts w:ascii="Calibri" w:eastAsia="Times New Roman" w:hAnsi="Calibri" w:cs="Times New Roman"/>
                <w:color w:val="000000"/>
                <w:sz w:val="18"/>
                <w:szCs w:val="18"/>
                <w:lang w:eastAsia="pl-PL"/>
              </w:rPr>
              <w:t>.</w:t>
            </w:r>
          </w:p>
        </w:tc>
        <w:tc>
          <w:tcPr>
            <w:tcW w:w="1307" w:type="dxa"/>
            <w:vMerge w:val="restart"/>
            <w:tcBorders>
              <w:top w:val="single" w:sz="12" w:space="0" w:color="auto"/>
              <w:left w:val="single" w:sz="4"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Oświetlenie pojazdu</w:t>
            </w:r>
          </w:p>
        </w:tc>
        <w:tc>
          <w:tcPr>
            <w:tcW w:w="7341" w:type="dxa"/>
            <w:tcBorders>
              <w:top w:val="single" w:sz="12" w:space="0" w:color="auto"/>
              <w:left w:val="nil"/>
              <w:bottom w:val="single" w:sz="4" w:space="0" w:color="auto"/>
              <w:right w:val="single" w:sz="12" w:space="0" w:color="auto"/>
            </w:tcBorders>
            <w:shd w:val="clear" w:color="auto" w:fill="9CC2E5" w:themeFill="accent1" w:themeFillTint="99"/>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 Światła mijania w technologii ksenowej lub LED;</w:t>
            </w:r>
          </w:p>
        </w:tc>
      </w:tr>
      <w:tr w:rsidR="005B4EB9" w:rsidRPr="001F304F" w:rsidTr="00AC2046">
        <w:trPr>
          <w:trHeight w:val="344"/>
        </w:trPr>
        <w:tc>
          <w:tcPr>
            <w:tcW w:w="368" w:type="dxa"/>
            <w:vMerge/>
            <w:tcBorders>
              <w:top w:val="single" w:sz="4" w:space="0" w:color="auto"/>
              <w:left w:val="single" w:sz="12"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4" w:space="0" w:color="auto"/>
              <w:left w:val="single" w:sz="4"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single" w:sz="4" w:space="0" w:color="auto"/>
              <w:right w:val="single" w:sz="12" w:space="0" w:color="auto"/>
            </w:tcBorders>
            <w:shd w:val="clear" w:color="auto" w:fill="9CC2E5" w:themeFill="accent1" w:themeFillTint="99"/>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 Światła przeciwmgłowe przednie posiadające homologację; wbudowane w zderzak lub spojler lub światła zintegrowane z lampami zespolonymi;</w:t>
            </w:r>
          </w:p>
        </w:tc>
      </w:tr>
      <w:tr w:rsidR="005B4EB9" w:rsidRPr="001F304F" w:rsidTr="00AC2046">
        <w:trPr>
          <w:trHeight w:val="344"/>
        </w:trPr>
        <w:tc>
          <w:tcPr>
            <w:tcW w:w="368" w:type="dxa"/>
            <w:vMerge/>
            <w:tcBorders>
              <w:top w:val="single" w:sz="12" w:space="0" w:color="auto"/>
              <w:left w:val="single" w:sz="12"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9CC2E5" w:themeFill="accent1" w:themeFillTint="99"/>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3. Światła do jazdy dziennej wykonane w technologii LED z oferty producenta pojazdów, posiadające homologację, wbudowane w zderzak lub światła zintegrowane z lampami zespolonymi;</w:t>
            </w:r>
          </w:p>
        </w:tc>
      </w:tr>
      <w:tr w:rsidR="005B4EB9" w:rsidRPr="001F304F" w:rsidTr="00AC2046">
        <w:trPr>
          <w:trHeight w:val="228"/>
        </w:trPr>
        <w:tc>
          <w:tcPr>
            <w:tcW w:w="368" w:type="dxa"/>
            <w:vMerge/>
            <w:tcBorders>
              <w:top w:val="single" w:sz="12" w:space="0" w:color="auto"/>
              <w:left w:val="single" w:sz="12"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9CC2E5" w:themeFill="accent1" w:themeFillTint="99"/>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4. Tylne lampy w technologii LED;</w:t>
            </w:r>
          </w:p>
        </w:tc>
      </w:tr>
      <w:tr w:rsidR="005B4EB9" w:rsidRPr="001F304F" w:rsidTr="00AC2046">
        <w:trPr>
          <w:trHeight w:val="228"/>
        </w:trPr>
        <w:tc>
          <w:tcPr>
            <w:tcW w:w="368" w:type="dxa"/>
            <w:vMerge/>
            <w:tcBorders>
              <w:top w:val="single" w:sz="12" w:space="0" w:color="auto"/>
              <w:left w:val="single" w:sz="12"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9CC2E5" w:themeFill="accent1" w:themeFillTint="99"/>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5. Światła awaryjne włączone przy gwałtownym hamowaniu;</w:t>
            </w:r>
          </w:p>
        </w:tc>
      </w:tr>
      <w:tr w:rsidR="005B4EB9" w:rsidRPr="001F304F" w:rsidTr="00AC2046">
        <w:trPr>
          <w:trHeight w:val="228"/>
        </w:trPr>
        <w:tc>
          <w:tcPr>
            <w:tcW w:w="368" w:type="dxa"/>
            <w:vMerge/>
            <w:tcBorders>
              <w:top w:val="single" w:sz="12" w:space="0" w:color="auto"/>
              <w:left w:val="single" w:sz="12"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nil"/>
              <w:right w:val="single" w:sz="12" w:space="0" w:color="auto"/>
            </w:tcBorders>
            <w:shd w:val="clear" w:color="auto" w:fill="9CC2E5" w:themeFill="accent1" w:themeFillTint="99"/>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6. Oświetlenie wnętrza pojazdu nad pierwszym i drugim rzędem siedzeń;</w:t>
            </w:r>
          </w:p>
        </w:tc>
      </w:tr>
      <w:tr w:rsidR="005B4EB9" w:rsidRPr="001F304F" w:rsidTr="00AC2046">
        <w:trPr>
          <w:trHeight w:val="240"/>
        </w:trPr>
        <w:tc>
          <w:tcPr>
            <w:tcW w:w="368" w:type="dxa"/>
            <w:vMerge/>
            <w:tcBorders>
              <w:top w:val="single" w:sz="12" w:space="0" w:color="auto"/>
              <w:left w:val="single" w:sz="12"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12" w:space="0" w:color="000000"/>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single" w:sz="12" w:space="0" w:color="auto"/>
              <w:right w:val="single" w:sz="12" w:space="0" w:color="auto"/>
            </w:tcBorders>
            <w:shd w:val="clear" w:color="auto" w:fill="9CC2E5" w:themeFill="accent1" w:themeFillTint="99"/>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7. Oświetlenie przestrzeni bagażowej;</w:t>
            </w:r>
          </w:p>
        </w:tc>
      </w:tr>
      <w:tr w:rsidR="005B4EB9" w:rsidRPr="001F304F" w:rsidTr="00AC2046">
        <w:trPr>
          <w:trHeight w:val="356"/>
        </w:trPr>
        <w:tc>
          <w:tcPr>
            <w:tcW w:w="368" w:type="dxa"/>
            <w:vMerge w:val="restart"/>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w:t>
            </w:r>
            <w:r w:rsidRPr="001F304F">
              <w:rPr>
                <w:rFonts w:ascii="Calibri" w:eastAsia="Times New Roman" w:hAnsi="Calibri" w:cs="Times New Roman"/>
                <w:color w:val="000000"/>
                <w:sz w:val="18"/>
                <w:szCs w:val="18"/>
                <w:lang w:eastAsia="pl-PL"/>
              </w:rPr>
              <w:t>.</w:t>
            </w:r>
          </w:p>
        </w:tc>
        <w:tc>
          <w:tcPr>
            <w:tcW w:w="1307"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Wyposażenie</w:t>
            </w: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 Regulacja fotela kierowcy i pasażera, co najmniej w dwóch płaszczyznach (przód-tył, góra-dół), regulacja oparcia foteli przednich w zakresie co najmniej pochylenia oparcia, regulacja pod lędźwie;</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 Centralny zamek sterowany pilotem, dla wszystkich drzwi pojazdu oraz pokrywy przestrzeni bagażowej;</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3. Możliwość otwierania drzwi przednich lewych w przypadku zaniku napięcia lub awarii za pomocą kluczyka;</w:t>
            </w:r>
          </w:p>
        </w:tc>
      </w:tr>
      <w:tr w:rsidR="005B4EB9" w:rsidRPr="001F304F" w:rsidTr="00AC2046">
        <w:trPr>
          <w:trHeight w:val="517"/>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4. Autoalarm sterowany pilotem (pilot fabrycznie zintegrowany z kluczykiem pojazdu, zapewniający sterowanie centralnym zamkiem, realizujący funkcję co najmniej ochrony wnętrza. Alarm powinien reagować na otwarcie każdych drzwi pojazdu, pokrywy silnika, pokrywy przestrzeni bagażowej oraz na ruch we wnętrzu pojazdu; immobilizer;</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5. Czujnik parkowania (lub kamery) z tyłu i przodu pojazdu montowane fabrycznie;</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6. Komputer pokładowy z obsługą w języku polskim;</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7. Elektryczne opuszczanie i podnoszenie szyb - przód i tył;</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8. Lusterko wsteczne samo ściemniające się;</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9. Lusterka zewnętrzne elektrycznie sterowane, podgrzewane z funkcją ich elektrycznego składania;</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10. Podgrzewane fotele przednie;</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11. Kierownica wielofunkcyjna skórzana;</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12. Wykończenie gałki dźwigni zmiany biegów w skórze;</w:t>
            </w:r>
          </w:p>
        </w:tc>
      </w:tr>
      <w:tr w:rsidR="005B4EB9" w:rsidRPr="001F304F" w:rsidTr="00AC2046">
        <w:trPr>
          <w:trHeight w:val="344"/>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13. Sy</w:t>
            </w:r>
            <w:r>
              <w:rPr>
                <w:rFonts w:ascii="Calibri" w:eastAsia="Times New Roman" w:hAnsi="Calibri" w:cs="Times New Roman"/>
                <w:color w:val="000000"/>
                <w:sz w:val="16"/>
                <w:szCs w:val="16"/>
                <w:lang w:eastAsia="pl-PL"/>
              </w:rPr>
              <w:t>stem audio wyposażony w odtwarzacz</w:t>
            </w:r>
            <w:r w:rsidRPr="001F304F">
              <w:rPr>
                <w:rFonts w:ascii="Calibri" w:eastAsia="Times New Roman" w:hAnsi="Calibri" w:cs="Times New Roman"/>
                <w:color w:val="000000"/>
                <w:sz w:val="16"/>
                <w:szCs w:val="16"/>
                <w:lang w:eastAsia="pl-PL"/>
              </w:rPr>
              <w:t xml:space="preserve"> MP3, gniazdo AUX, gniazdo USB, obsługa Bluetooth, zestaw do obsługi telefonu komórkowego, minimum 4 głośniki, antenę;</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14. Minimum dwustrefowa fabryczna klimatyzacja (automatyczna);</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15. Szyba przednia i tylna podgrzewana wyposażona w wycieraczkę i spryskiwacz;</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 xml:space="preserve">16. Tylne szyby przyciemniane - przepuszczalność światła maksymalnie 15%; </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17. Podgrzewane dysze spryskiwaczy szyby przedniej;</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18. Czujnik deszczu;</w:t>
            </w:r>
          </w:p>
        </w:tc>
      </w:tr>
      <w:tr w:rsidR="005B4EB9" w:rsidRPr="001F304F" w:rsidTr="00AC2046">
        <w:trPr>
          <w:trHeight w:val="344"/>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19. Materiały obiciowe siedzeń I-go i II-go rzędu oraz wszystkich elementów wykończenia wnętrza pojazdu znajdujących się poniżej linii szyb muszą być w kolorze ciemnym, łatwym w utrzymaniu czystości; alcantara lub skóra;</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20. Podłokietnik z przodu;</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21. Dwa komplety kluczyków/kart do pojazdu i pilotów do sterowania centralnym zamkiem;</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22. Komplet dywaników gumowych dla I-go i II-go rzędu siedzeń oraz przestrzeni ładunkowej;</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23. Dwie ramki pod tablice rejestracyjne zamontowane na pojeździe. Na ramkach nie mogą się znajdować żadne napisy;</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24. Fotele przednie/tylna kanapa wyposażone w zagłówki z regulacją wysokości;</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25. Składana półka/roleta zasłaniająca część bagażową;</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26. Tempomat aktywny;</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27. Reflektory automatyczne – czujnik zmierzchu;</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28. Czujnik temperatury zewnętrznej;</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29. Część bagażowa wyposażona w co najmniej 4 uchwyty do kotwiczenia ładunku + siatka zabezpieczająca bagaż;</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30. Apteczka typu samochodowego;</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31.</w:t>
            </w:r>
            <w:r w:rsidRPr="001F304F">
              <w:rPr>
                <w:rFonts w:ascii="Calibri" w:eastAsia="Times New Roman" w:hAnsi="Calibri" w:cs="Times New Roman"/>
                <w:color w:val="000000"/>
                <w:sz w:val="16"/>
                <w:szCs w:val="16"/>
                <w:lang w:eastAsia="pl-PL"/>
              </w:rPr>
              <w:t xml:space="preserve"> Gaśnica samochodowa z homologacją min. 1 kg;</w:t>
            </w:r>
          </w:p>
        </w:tc>
      </w:tr>
      <w:tr w:rsidR="005B4EB9" w:rsidRPr="001F304F" w:rsidTr="00AC2046">
        <w:trPr>
          <w:trHeight w:val="228"/>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32. Trójkąt ostrzegawczy;</w:t>
            </w:r>
          </w:p>
        </w:tc>
      </w:tr>
      <w:tr w:rsidR="005B4EB9" w:rsidRPr="001F304F" w:rsidTr="00AC2046">
        <w:trPr>
          <w:trHeight w:val="344"/>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tcPr>
          <w:p w:rsidR="005B4EB9" w:rsidRPr="00F97A87" w:rsidRDefault="005B4EB9" w:rsidP="00AC2046">
            <w:pPr>
              <w:spacing w:after="0" w:line="240" w:lineRule="auto"/>
              <w:jc w:val="both"/>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33. </w:t>
            </w:r>
            <w:r w:rsidRPr="00F97A87">
              <w:rPr>
                <w:rFonts w:ascii="Calibri" w:eastAsia="Times New Roman" w:hAnsi="Calibri" w:cs="Times New Roman"/>
                <w:sz w:val="16"/>
                <w:szCs w:val="16"/>
                <w:lang w:eastAsia="pl-PL"/>
              </w:rPr>
              <w:t xml:space="preserve">Komplet 4 kół z oponami bezdętkowymi, </w:t>
            </w:r>
            <w:r>
              <w:rPr>
                <w:rFonts w:ascii="Calibri" w:eastAsia="Times New Roman" w:hAnsi="Calibri" w:cs="Times New Roman"/>
                <w:sz w:val="16"/>
                <w:szCs w:val="16"/>
                <w:lang w:eastAsia="pl-PL"/>
              </w:rPr>
              <w:t>zimowymi</w:t>
            </w:r>
            <w:r w:rsidRPr="00F97A87">
              <w:rPr>
                <w:rFonts w:ascii="Calibri" w:eastAsia="Times New Roman" w:hAnsi="Calibri" w:cs="Times New Roman"/>
                <w:sz w:val="16"/>
                <w:szCs w:val="16"/>
                <w:lang w:eastAsia="pl-PL"/>
              </w:rPr>
              <w:t xml:space="preserve"> z fabrycznej oferty producenta pojazdów, na felgach aluminiowych - o rozmiarze co najmniej 17 cali. Opony nie mogą być starsze niż z 2018 roku, muszą być fabrycznie nowe i homologowane. Indeks prędkości opony winien odpowiadać co najmniej maksymalnej prędkości konstrukcyjnej pojazdu, wyszczególnionej w dokumentacji homologacyjnej;</w:t>
            </w:r>
          </w:p>
        </w:tc>
      </w:tr>
      <w:tr w:rsidR="005B4EB9" w:rsidRPr="001F304F" w:rsidTr="00AC2046">
        <w:trPr>
          <w:trHeight w:val="344"/>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tcPr>
          <w:p w:rsidR="005B4EB9" w:rsidRPr="00F97A87" w:rsidRDefault="005B4EB9" w:rsidP="00AC2046">
            <w:pPr>
              <w:spacing w:after="0" w:line="240" w:lineRule="auto"/>
              <w:jc w:val="both"/>
              <w:rPr>
                <w:rFonts w:ascii="Calibri" w:eastAsia="Times New Roman" w:hAnsi="Calibri" w:cs="Times New Roman"/>
                <w:sz w:val="16"/>
                <w:szCs w:val="16"/>
                <w:lang w:eastAsia="pl-PL"/>
              </w:rPr>
            </w:pPr>
            <w:r>
              <w:rPr>
                <w:rFonts w:ascii="Calibri" w:eastAsia="Times New Roman" w:hAnsi="Calibri" w:cs="Times New Roman"/>
                <w:sz w:val="16"/>
                <w:szCs w:val="16"/>
                <w:lang w:eastAsia="pl-PL"/>
              </w:rPr>
              <w:t>34</w:t>
            </w:r>
            <w:r w:rsidRPr="00F97A87">
              <w:rPr>
                <w:rFonts w:ascii="Calibri" w:eastAsia="Times New Roman" w:hAnsi="Calibri" w:cs="Times New Roman"/>
                <w:sz w:val="16"/>
                <w:szCs w:val="16"/>
                <w:lang w:eastAsia="pl-PL"/>
              </w:rPr>
              <w:t xml:space="preserve">. </w:t>
            </w:r>
            <w:r w:rsidRPr="0012786F">
              <w:rPr>
                <w:rFonts w:ascii="Calibri" w:eastAsia="Times New Roman" w:hAnsi="Calibri" w:cs="Times New Roman"/>
                <w:sz w:val="16"/>
                <w:szCs w:val="16"/>
                <w:lang w:eastAsia="pl-PL"/>
              </w:rPr>
              <w:t>Dodatkowy komplet 4 opon bezdętkowych letnich, na felgach aluminiowych - o rozmiarze co najmniej 17 cali  (samochód w momencie dostawy powinien mieć zainstalowane opony zimowe). Opony nie mogą być starsze niż z 2018 roku, muszą być fabrycznie nowe i homologowane. Indeks prędkości opony winien odpowiadać co najmniej maksymalnej prędkości konstrukcyjnej pojazdu, wyszczególnionej w dokumentacji homologacyjnej;</w:t>
            </w:r>
          </w:p>
        </w:tc>
      </w:tr>
      <w:tr w:rsidR="005B4EB9" w:rsidRPr="001F304F" w:rsidTr="00AC2046">
        <w:trPr>
          <w:trHeight w:val="344"/>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F97A87" w:rsidRDefault="005B4EB9" w:rsidP="00AC2046">
            <w:pPr>
              <w:spacing w:after="0" w:line="240" w:lineRule="auto"/>
              <w:jc w:val="both"/>
              <w:rPr>
                <w:rFonts w:ascii="Calibri" w:eastAsia="Times New Roman" w:hAnsi="Calibri" w:cs="Times New Roman"/>
                <w:sz w:val="16"/>
                <w:szCs w:val="16"/>
                <w:lang w:eastAsia="pl-PL"/>
              </w:rPr>
            </w:pPr>
            <w:r w:rsidRPr="009948BC">
              <w:rPr>
                <w:rFonts w:ascii="Calibri" w:eastAsia="Times New Roman" w:hAnsi="Calibri" w:cs="Times New Roman"/>
                <w:sz w:val="16"/>
                <w:szCs w:val="16"/>
                <w:lang w:eastAsia="pl-PL"/>
              </w:rPr>
              <w:t>35. Koło zapasowe (pełnowymiarowe lub dojazdowe) wraz z podnośnikiem i kluczem;</w:t>
            </w:r>
          </w:p>
        </w:tc>
      </w:tr>
      <w:tr w:rsidR="005B4EB9" w:rsidRPr="001F304F" w:rsidTr="00AC2046">
        <w:trPr>
          <w:trHeight w:val="240"/>
        </w:trPr>
        <w:tc>
          <w:tcPr>
            <w:tcW w:w="368" w:type="dxa"/>
            <w:vMerge/>
            <w:tcBorders>
              <w:top w:val="nil"/>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36</w:t>
            </w:r>
            <w:r w:rsidRPr="001F304F">
              <w:rPr>
                <w:rFonts w:ascii="Calibri" w:eastAsia="Times New Roman" w:hAnsi="Calibri" w:cs="Times New Roman"/>
                <w:color w:val="000000"/>
                <w:sz w:val="16"/>
                <w:szCs w:val="16"/>
                <w:lang w:eastAsia="pl-PL"/>
              </w:rPr>
              <w:t>. Nawigacja satelitarna;</w:t>
            </w:r>
          </w:p>
        </w:tc>
      </w:tr>
      <w:tr w:rsidR="005B4EB9" w:rsidRPr="001F304F" w:rsidTr="00AC2046">
        <w:trPr>
          <w:trHeight w:val="391"/>
        </w:trPr>
        <w:tc>
          <w:tcPr>
            <w:tcW w:w="368" w:type="dxa"/>
            <w:tcBorders>
              <w:top w:val="single" w:sz="12" w:space="0" w:color="auto"/>
              <w:left w:val="single" w:sz="12" w:space="0" w:color="auto"/>
              <w:bottom w:val="single" w:sz="12" w:space="0" w:color="auto"/>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lastRenderedPageBreak/>
              <w:t>8</w:t>
            </w:r>
            <w:r w:rsidRPr="001F304F">
              <w:rPr>
                <w:rFonts w:ascii="Calibri" w:eastAsia="Times New Roman" w:hAnsi="Calibri" w:cs="Times New Roman"/>
                <w:color w:val="000000"/>
                <w:sz w:val="18"/>
                <w:szCs w:val="18"/>
                <w:lang w:eastAsia="pl-PL"/>
              </w:rPr>
              <w:t>.</w:t>
            </w:r>
          </w:p>
        </w:tc>
        <w:tc>
          <w:tcPr>
            <w:tcW w:w="1307" w:type="dxa"/>
            <w:tcBorders>
              <w:top w:val="single" w:sz="12" w:space="0" w:color="auto"/>
              <w:left w:val="nil"/>
              <w:bottom w:val="single" w:sz="12" w:space="0" w:color="auto"/>
              <w:right w:val="single" w:sz="4" w:space="0" w:color="auto"/>
            </w:tcBorders>
            <w:shd w:val="clear" w:color="auto" w:fill="9CC2E5" w:themeFill="accent1" w:themeFillTint="99"/>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Barwa nadwozia</w:t>
            </w:r>
          </w:p>
        </w:tc>
        <w:tc>
          <w:tcPr>
            <w:tcW w:w="7341" w:type="dxa"/>
            <w:tcBorders>
              <w:top w:val="single" w:sz="12" w:space="0" w:color="auto"/>
              <w:left w:val="nil"/>
              <w:bottom w:val="single" w:sz="12" w:space="0" w:color="auto"/>
              <w:right w:val="single" w:sz="12" w:space="0" w:color="auto"/>
            </w:tcBorders>
            <w:shd w:val="clear" w:color="auto" w:fill="9CC2E5" w:themeFill="accent1" w:themeFillTint="99"/>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Nadwozie lakierowane w kolorze czarnym - metalizowany lub perłowy;</w:t>
            </w:r>
          </w:p>
        </w:tc>
      </w:tr>
      <w:tr w:rsidR="005B4EB9" w:rsidRPr="001F304F" w:rsidTr="00AC2046">
        <w:trPr>
          <w:trHeight w:val="240"/>
        </w:trPr>
        <w:tc>
          <w:tcPr>
            <w:tcW w:w="368" w:type="dxa"/>
            <w:vMerge w:val="restart"/>
            <w:tcBorders>
              <w:top w:val="nil"/>
              <w:left w:val="single" w:sz="12" w:space="0" w:color="auto"/>
              <w:bottom w:val="single" w:sz="12" w:space="0" w:color="000000"/>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9</w:t>
            </w:r>
            <w:r w:rsidRPr="001F304F">
              <w:rPr>
                <w:rFonts w:ascii="Calibri" w:eastAsia="Times New Roman" w:hAnsi="Calibri" w:cs="Times New Roman"/>
                <w:color w:val="000000"/>
                <w:sz w:val="18"/>
                <w:szCs w:val="18"/>
                <w:lang w:eastAsia="pl-PL"/>
              </w:rPr>
              <w:t>.</w:t>
            </w:r>
          </w:p>
        </w:tc>
        <w:tc>
          <w:tcPr>
            <w:tcW w:w="1307" w:type="dxa"/>
            <w:vMerge w:val="restart"/>
            <w:tcBorders>
              <w:top w:val="nil"/>
              <w:left w:val="single" w:sz="4" w:space="0" w:color="auto"/>
              <w:bottom w:val="single" w:sz="12" w:space="0" w:color="000000"/>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jc w:val="center"/>
              <w:rPr>
                <w:rFonts w:ascii="Calibri" w:eastAsia="Times New Roman" w:hAnsi="Calibri" w:cs="Times New Roman"/>
                <w:color w:val="000000"/>
                <w:sz w:val="18"/>
                <w:szCs w:val="18"/>
                <w:lang w:eastAsia="pl-PL"/>
              </w:rPr>
            </w:pPr>
            <w:r w:rsidRPr="001F304F">
              <w:rPr>
                <w:rFonts w:ascii="Calibri" w:eastAsia="Times New Roman" w:hAnsi="Calibri" w:cs="Times New Roman"/>
                <w:color w:val="000000"/>
                <w:sz w:val="18"/>
                <w:szCs w:val="18"/>
                <w:lang w:eastAsia="pl-PL"/>
              </w:rPr>
              <w:t>Wymagania dot. gwarancji</w:t>
            </w: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1. Gwarancja minimum:</w:t>
            </w:r>
          </w:p>
        </w:tc>
      </w:tr>
      <w:tr w:rsidR="005B4EB9" w:rsidRPr="001F304F" w:rsidTr="00AC2046">
        <w:trPr>
          <w:trHeight w:val="344"/>
        </w:trPr>
        <w:tc>
          <w:tcPr>
            <w:tcW w:w="368" w:type="dxa"/>
            <w:vMerge/>
            <w:tcBorders>
              <w:top w:val="nil"/>
              <w:left w:val="single" w:sz="12" w:space="0" w:color="auto"/>
              <w:bottom w:val="single" w:sz="12" w:space="0" w:color="000000"/>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- 24</w:t>
            </w:r>
            <w:r w:rsidRPr="001F304F">
              <w:rPr>
                <w:rFonts w:ascii="Calibri" w:eastAsia="Times New Roman" w:hAnsi="Calibri" w:cs="Times New Roman"/>
                <w:color w:val="000000"/>
                <w:sz w:val="16"/>
                <w:szCs w:val="16"/>
                <w:lang w:eastAsia="pl-PL"/>
              </w:rPr>
              <w:t xml:space="preserve"> miesiące lub przebieg minimum 100 tysięcy km (w zależności co nastąpi pierwsze) na wszystkie zespoły </w:t>
            </w:r>
            <w:r>
              <w:rPr>
                <w:rFonts w:ascii="Calibri" w:eastAsia="Times New Roman" w:hAnsi="Calibri" w:cs="Times New Roman"/>
                <w:color w:val="000000"/>
                <w:sz w:val="16"/>
                <w:szCs w:val="16"/>
                <w:lang w:eastAsia="pl-PL"/>
              </w:rPr>
              <w:br/>
            </w:r>
            <w:r w:rsidRPr="001F304F">
              <w:rPr>
                <w:rFonts w:ascii="Calibri" w:eastAsia="Times New Roman" w:hAnsi="Calibri" w:cs="Times New Roman"/>
                <w:color w:val="000000"/>
                <w:sz w:val="16"/>
                <w:szCs w:val="16"/>
                <w:lang w:eastAsia="pl-PL"/>
              </w:rPr>
              <w:t xml:space="preserve">i podzespoły samochodu bez </w:t>
            </w:r>
            <w:r>
              <w:rPr>
                <w:rFonts w:ascii="Calibri" w:eastAsia="Times New Roman" w:hAnsi="Calibri" w:cs="Times New Roman"/>
                <w:color w:val="000000"/>
                <w:sz w:val="16"/>
                <w:szCs w:val="16"/>
                <w:lang w:eastAsia="pl-PL"/>
              </w:rPr>
              <w:t>wyłączeń</w:t>
            </w:r>
            <w:r w:rsidRPr="001F304F">
              <w:rPr>
                <w:rFonts w:ascii="Calibri" w:eastAsia="Times New Roman" w:hAnsi="Calibri" w:cs="Times New Roman"/>
                <w:color w:val="000000"/>
                <w:sz w:val="16"/>
                <w:szCs w:val="16"/>
                <w:lang w:eastAsia="pl-PL"/>
              </w:rPr>
              <w:t xml:space="preserve"> – obejmująca prawidłowe funkcjonowanie samochodu, wady materiałowe i fabryczne, mechanikę,</w:t>
            </w:r>
          </w:p>
        </w:tc>
      </w:tr>
      <w:tr w:rsidR="005B4EB9" w:rsidRPr="001F304F" w:rsidTr="00AC2046">
        <w:trPr>
          <w:trHeight w:val="228"/>
        </w:trPr>
        <w:tc>
          <w:tcPr>
            <w:tcW w:w="368" w:type="dxa"/>
            <w:vMerge/>
            <w:tcBorders>
              <w:top w:val="nil"/>
              <w:left w:val="single" w:sz="12" w:space="0" w:color="auto"/>
              <w:bottom w:val="single" w:sz="12"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 </w:t>
            </w:r>
            <w:r w:rsidRPr="001F304F">
              <w:rPr>
                <w:rFonts w:ascii="Calibri" w:eastAsia="Times New Roman" w:hAnsi="Calibri" w:cs="Times New Roman"/>
                <w:color w:val="000000"/>
                <w:sz w:val="16"/>
                <w:szCs w:val="16"/>
                <w:lang w:eastAsia="pl-PL"/>
              </w:rPr>
              <w:t>60 miesięcy na perforację karoserii,</w:t>
            </w:r>
          </w:p>
        </w:tc>
      </w:tr>
      <w:tr w:rsidR="005B4EB9" w:rsidRPr="001F304F" w:rsidTr="00AC2046">
        <w:trPr>
          <w:trHeight w:val="228"/>
        </w:trPr>
        <w:tc>
          <w:tcPr>
            <w:tcW w:w="368" w:type="dxa"/>
            <w:vMerge/>
            <w:tcBorders>
              <w:top w:val="single" w:sz="12" w:space="0" w:color="auto"/>
              <w:left w:val="single" w:sz="12"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single" w:sz="4" w:space="0" w:color="auto"/>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 </w:t>
            </w:r>
            <w:r>
              <w:rPr>
                <w:rFonts w:ascii="Calibri" w:eastAsia="Times New Roman" w:hAnsi="Calibri" w:cs="Times New Roman"/>
                <w:color w:val="000000"/>
                <w:sz w:val="16"/>
                <w:szCs w:val="16"/>
                <w:lang w:eastAsia="pl-PL"/>
              </w:rPr>
              <w:t>24 miesiące</w:t>
            </w:r>
            <w:r w:rsidRPr="001F304F">
              <w:rPr>
                <w:rFonts w:ascii="Calibri" w:eastAsia="Times New Roman" w:hAnsi="Calibri" w:cs="Times New Roman"/>
                <w:color w:val="000000"/>
                <w:sz w:val="16"/>
                <w:szCs w:val="16"/>
                <w:lang w:eastAsia="pl-PL"/>
              </w:rPr>
              <w:t xml:space="preserve"> na powłokę nadwozia (lakier),</w:t>
            </w:r>
          </w:p>
        </w:tc>
      </w:tr>
      <w:tr w:rsidR="005B4EB9" w:rsidRPr="001F304F" w:rsidTr="00AC2046">
        <w:trPr>
          <w:trHeight w:val="517"/>
        </w:trPr>
        <w:tc>
          <w:tcPr>
            <w:tcW w:w="368" w:type="dxa"/>
            <w:vMerge/>
            <w:tcBorders>
              <w:top w:val="nil"/>
              <w:left w:val="single" w:sz="12" w:space="0" w:color="auto"/>
              <w:bottom w:val="single" w:sz="12" w:space="0" w:color="000000"/>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4"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 xml:space="preserve">2. Okres gwarancji biegnie od dnia podpisania, bez zastrzeżeń Użytkownika, protokołu </w:t>
            </w:r>
            <w:r>
              <w:rPr>
                <w:rFonts w:ascii="Calibri" w:eastAsia="Times New Roman" w:hAnsi="Calibri" w:cs="Times New Roman"/>
                <w:sz w:val="16"/>
                <w:szCs w:val="16"/>
                <w:lang w:eastAsia="pl-PL"/>
              </w:rPr>
              <w:t>przekazania-odbioru</w:t>
            </w:r>
            <w:r w:rsidRPr="00F97A87">
              <w:rPr>
                <w:rFonts w:ascii="Calibri" w:eastAsia="Times New Roman" w:hAnsi="Calibri" w:cs="Times New Roman"/>
                <w:sz w:val="16"/>
                <w:szCs w:val="16"/>
                <w:lang w:eastAsia="pl-PL"/>
              </w:rPr>
              <w:t xml:space="preserve"> </w:t>
            </w:r>
            <w:r w:rsidRPr="001F304F">
              <w:rPr>
                <w:rFonts w:ascii="Calibri" w:eastAsia="Times New Roman" w:hAnsi="Calibri" w:cs="Times New Roman"/>
                <w:color w:val="000000"/>
                <w:sz w:val="16"/>
                <w:szCs w:val="16"/>
                <w:lang w:eastAsia="pl-PL"/>
              </w:rPr>
              <w:t>samochodu. Gwarancja nie obejmuje materiałów eksploatacyjnych. Dla utrzymania gwarancji wykonawca nie może żądać serwisowania wyłącznie w stacjach obsługi autoryzowanych przez producenta samochodu;</w:t>
            </w:r>
          </w:p>
        </w:tc>
      </w:tr>
      <w:tr w:rsidR="005B4EB9" w:rsidRPr="001F304F" w:rsidTr="00AC2046">
        <w:trPr>
          <w:trHeight w:val="356"/>
        </w:trPr>
        <w:tc>
          <w:tcPr>
            <w:tcW w:w="368" w:type="dxa"/>
            <w:vMerge/>
            <w:tcBorders>
              <w:top w:val="nil"/>
              <w:left w:val="single" w:sz="12" w:space="0" w:color="auto"/>
              <w:bottom w:val="single" w:sz="12" w:space="0" w:color="000000"/>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1307" w:type="dxa"/>
            <w:vMerge/>
            <w:tcBorders>
              <w:top w:val="nil"/>
              <w:left w:val="single" w:sz="4" w:space="0" w:color="auto"/>
              <w:bottom w:val="single" w:sz="12" w:space="0" w:color="000000"/>
              <w:right w:val="single" w:sz="4" w:space="0" w:color="auto"/>
            </w:tcBorders>
            <w:shd w:val="clear" w:color="auto" w:fill="DEEAF6" w:themeFill="accent1" w:themeFillTint="33"/>
            <w:vAlign w:val="center"/>
            <w:hideMark/>
          </w:tcPr>
          <w:p w:rsidR="005B4EB9" w:rsidRPr="001F304F" w:rsidRDefault="005B4EB9" w:rsidP="00AC2046">
            <w:pPr>
              <w:spacing w:after="0" w:line="240" w:lineRule="auto"/>
              <w:rPr>
                <w:rFonts w:ascii="Calibri" w:eastAsia="Times New Roman" w:hAnsi="Calibri" w:cs="Times New Roman"/>
                <w:color w:val="000000"/>
                <w:sz w:val="18"/>
                <w:szCs w:val="18"/>
                <w:lang w:eastAsia="pl-PL"/>
              </w:rPr>
            </w:pPr>
          </w:p>
        </w:tc>
        <w:tc>
          <w:tcPr>
            <w:tcW w:w="7341" w:type="dxa"/>
            <w:tcBorders>
              <w:top w:val="nil"/>
              <w:left w:val="nil"/>
              <w:bottom w:val="single" w:sz="12" w:space="0" w:color="auto"/>
              <w:right w:val="single" w:sz="12" w:space="0" w:color="auto"/>
            </w:tcBorders>
            <w:shd w:val="clear" w:color="auto" w:fill="DEEAF6" w:themeFill="accent1" w:themeFillTint="33"/>
            <w:vAlign w:val="center"/>
            <w:hideMark/>
          </w:tcPr>
          <w:p w:rsidR="005B4EB9" w:rsidRPr="001F304F" w:rsidRDefault="005B4EB9" w:rsidP="00AC2046">
            <w:pPr>
              <w:spacing w:after="0" w:line="240" w:lineRule="auto"/>
              <w:jc w:val="both"/>
              <w:rPr>
                <w:rFonts w:ascii="Calibri" w:eastAsia="Times New Roman" w:hAnsi="Calibri" w:cs="Times New Roman"/>
                <w:color w:val="000000"/>
                <w:sz w:val="16"/>
                <w:szCs w:val="16"/>
                <w:lang w:eastAsia="pl-PL"/>
              </w:rPr>
            </w:pPr>
            <w:r w:rsidRPr="001F304F">
              <w:rPr>
                <w:rFonts w:ascii="Calibri" w:eastAsia="Times New Roman" w:hAnsi="Calibri" w:cs="Times New Roman"/>
                <w:color w:val="000000"/>
                <w:sz w:val="16"/>
                <w:szCs w:val="16"/>
                <w:lang w:eastAsia="pl-PL"/>
              </w:rPr>
              <w:t>3. Przeglądy okresowe oraz naprawy w ramach gwarancji realizowane będą w autoryzowanej stacji obsługi (ASO) wskazanej przez Wykonawcę i zlokalizowanej najbliżej miejsc</w:t>
            </w:r>
            <w:r>
              <w:rPr>
                <w:rFonts w:ascii="Calibri" w:eastAsia="Times New Roman" w:hAnsi="Calibri" w:cs="Times New Roman"/>
                <w:color w:val="000000"/>
                <w:sz w:val="16"/>
                <w:szCs w:val="16"/>
                <w:lang w:eastAsia="pl-PL"/>
              </w:rPr>
              <w:t>a użytkowania przedmiotu umowy;</w:t>
            </w:r>
            <w:r w:rsidRPr="001F304F">
              <w:rPr>
                <w:rFonts w:ascii="Calibri" w:eastAsia="Times New Roman" w:hAnsi="Calibri" w:cs="Times New Roman"/>
                <w:color w:val="000000"/>
                <w:sz w:val="16"/>
                <w:szCs w:val="16"/>
                <w:lang w:eastAsia="pl-PL"/>
              </w:rPr>
              <w:t xml:space="preserve"> </w:t>
            </w:r>
          </w:p>
        </w:tc>
      </w:tr>
    </w:tbl>
    <w:p w:rsidR="005B4EB9" w:rsidRDefault="005B4EB9" w:rsidP="005B4EB9"/>
    <w:p w:rsidR="005B4EB9" w:rsidRDefault="005B4EB9" w:rsidP="005B4EB9"/>
    <w:p w:rsidR="001F7A5F" w:rsidRDefault="001F7A5F"/>
    <w:sectPr w:rsidR="001F7A5F">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33236824"/>
      <w:docPartObj>
        <w:docPartGallery w:val="Page Numbers (Bottom of Page)"/>
        <w:docPartUnique/>
      </w:docPartObj>
    </w:sdtPr>
    <w:sdtEndPr/>
    <w:sdtContent>
      <w:p w:rsidR="00132C3F" w:rsidRDefault="005B4EB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5B4EB9">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132C3F" w:rsidRDefault="005B4EB9">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84" w:rsidRPr="00331C08" w:rsidRDefault="005B4EB9" w:rsidP="00096884">
    <w:pPr>
      <w:pStyle w:val="Tekstpodstawowywcity"/>
      <w:pBdr>
        <w:top w:val="single" w:sz="4" w:space="0" w:color="auto"/>
        <w:left w:val="single" w:sz="4" w:space="4" w:color="auto"/>
        <w:bottom w:val="single" w:sz="4" w:space="1" w:color="auto"/>
        <w:right w:val="single" w:sz="4" w:space="4" w:color="auto"/>
      </w:pBdr>
      <w:tabs>
        <w:tab w:val="left" w:pos="690"/>
        <w:tab w:val="center" w:pos="4818"/>
      </w:tabs>
      <w:ind w:left="284"/>
      <w:jc w:val="center"/>
      <w:rPr>
        <w:i/>
        <w:sz w:val="22"/>
        <w:szCs w:val="22"/>
      </w:rPr>
    </w:pPr>
    <w:r w:rsidRPr="00C30A8A">
      <w:rPr>
        <w:i/>
        <w:sz w:val="22"/>
        <w:szCs w:val="22"/>
      </w:rPr>
      <w:t xml:space="preserve">Zamówienie publiczne  </w:t>
    </w:r>
    <w:r w:rsidRPr="005662FD">
      <w:rPr>
        <w:i/>
        <w:sz w:val="22"/>
        <w:szCs w:val="22"/>
      </w:rPr>
      <w:t xml:space="preserve">nr </w:t>
    </w:r>
    <w:r w:rsidRPr="005662FD">
      <w:rPr>
        <w:bCs/>
        <w:i/>
      </w:rPr>
      <w:t>0201-ILZ.260.</w:t>
    </w:r>
    <w:r>
      <w:rPr>
        <w:bCs/>
        <w:i/>
      </w:rPr>
      <w:t>38</w:t>
    </w:r>
    <w:r w:rsidRPr="005662FD">
      <w:rPr>
        <w:bCs/>
        <w:i/>
      </w:rPr>
      <w:t>.2018</w:t>
    </w:r>
    <w:r>
      <w:rPr>
        <w:b/>
        <w:bCs/>
      </w:rPr>
      <w:t xml:space="preserve"> </w:t>
    </w:r>
    <w:r w:rsidRPr="00C30A8A">
      <w:rPr>
        <w:i/>
        <w:sz w:val="22"/>
        <w:szCs w:val="22"/>
      </w:rPr>
      <w:t xml:space="preserve">w trybie przetargu nieograniczonego </w:t>
    </w:r>
    <w:r w:rsidRPr="00C30A8A">
      <w:rPr>
        <w:i/>
        <w:sz w:val="22"/>
        <w:szCs w:val="22"/>
      </w:rPr>
      <w:br/>
      <w:t xml:space="preserve">na </w:t>
    </w:r>
    <w:r>
      <w:rPr>
        <w:i/>
        <w:sz w:val="22"/>
        <w:szCs w:val="22"/>
      </w:rPr>
      <w:t>dostawę samochodów osobowych</w:t>
    </w:r>
  </w:p>
  <w:p w:rsidR="00096884" w:rsidRDefault="005B4EB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B9"/>
    <w:rsid w:val="001F7A5F"/>
    <w:rsid w:val="005B4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B39C-762B-4E56-88CD-CC0577A5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E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4E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EB9"/>
  </w:style>
  <w:style w:type="paragraph" w:styleId="Stopka">
    <w:name w:val="footer"/>
    <w:basedOn w:val="Normalny"/>
    <w:link w:val="StopkaZnak"/>
    <w:uiPriority w:val="99"/>
    <w:unhideWhenUsed/>
    <w:rsid w:val="005B4E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EB9"/>
  </w:style>
  <w:style w:type="paragraph" w:styleId="Tekstpodstawowywcity">
    <w:name w:val="Body Text Indent"/>
    <w:basedOn w:val="Normalny"/>
    <w:link w:val="TekstpodstawowywcityZnak"/>
    <w:rsid w:val="005B4EB9"/>
    <w:pPr>
      <w:autoSpaceDE w:val="0"/>
      <w:autoSpaceDN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5B4EB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6624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Witer</dc:creator>
  <cp:keywords/>
  <dc:description/>
  <cp:lastModifiedBy>Irena Witer</cp:lastModifiedBy>
  <cp:revision>1</cp:revision>
  <dcterms:created xsi:type="dcterms:W3CDTF">2018-08-23T10:45:00Z</dcterms:created>
  <dcterms:modified xsi:type="dcterms:W3CDTF">2018-08-23T10:46:00Z</dcterms:modified>
</cp:coreProperties>
</file>