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7B" w:rsidRDefault="0034797B" w:rsidP="0034797B">
      <w:pPr>
        <w:tabs>
          <w:tab w:val="left" w:pos="7710"/>
        </w:tabs>
        <w:jc w:val="right"/>
      </w:pPr>
      <w:r w:rsidRPr="0034797B">
        <w:t xml:space="preserve">Załącznik nr 1 do </w:t>
      </w:r>
      <w:r w:rsidR="00096884">
        <w:t>Projektu umowy</w:t>
      </w:r>
    </w:p>
    <w:p w:rsidR="0034797B" w:rsidRDefault="0034797B" w:rsidP="0034797B"/>
    <w:p w:rsidR="005035AD" w:rsidRDefault="005035AD" w:rsidP="005035AD">
      <w:pPr>
        <w:jc w:val="center"/>
        <w:rPr>
          <w:rFonts w:ascii="Times New Roman" w:hAnsi="Times New Roman"/>
          <w:b/>
          <w:sz w:val="24"/>
          <w:szCs w:val="24"/>
        </w:rPr>
      </w:pPr>
      <w:r w:rsidRPr="00A65DA9">
        <w:rPr>
          <w:rFonts w:ascii="Times New Roman" w:hAnsi="Times New Roman"/>
          <w:b/>
          <w:sz w:val="24"/>
          <w:szCs w:val="24"/>
        </w:rPr>
        <w:t>OPIS PRZEDMIOTU ZAMÓWIENIA</w:t>
      </w:r>
    </w:p>
    <w:p w:rsidR="00F16DEE" w:rsidRDefault="00F14692" w:rsidP="008B74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(SPECYFIKACJA TECHNICZNA – </w:t>
      </w:r>
      <w:r w:rsidR="005035AD" w:rsidRPr="00A65DA9">
        <w:rPr>
          <w:rFonts w:ascii="Times New Roman" w:hAnsi="Times New Roman"/>
          <w:b/>
          <w:sz w:val="24"/>
          <w:szCs w:val="24"/>
        </w:rPr>
        <w:t>wymagania minimalne)</w:t>
      </w:r>
    </w:p>
    <w:p w:rsidR="007F3504" w:rsidRPr="008B744D" w:rsidRDefault="007F3504" w:rsidP="008B744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307"/>
        <w:gridCol w:w="7341"/>
      </w:tblGrid>
      <w:tr w:rsidR="008B744D" w:rsidRPr="001F304F" w:rsidTr="00785771">
        <w:trPr>
          <w:trHeight w:val="252"/>
        </w:trPr>
        <w:tc>
          <w:tcPr>
            <w:tcW w:w="9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8B744D" w:rsidRPr="00B33A35" w:rsidRDefault="008B744D" w:rsidP="00BC2070">
            <w:pPr>
              <w:spacing w:before="240"/>
              <w:jc w:val="center"/>
              <w:rPr>
                <w:b/>
              </w:rPr>
            </w:pPr>
            <w:r w:rsidRPr="00B33A35">
              <w:rPr>
                <w:b/>
              </w:rPr>
              <w:t xml:space="preserve">CZĘŚĆ </w:t>
            </w:r>
            <w:r>
              <w:rPr>
                <w:b/>
              </w:rPr>
              <w:t>NR</w:t>
            </w:r>
            <w:r w:rsidRPr="00B33A35">
              <w:rPr>
                <w:b/>
              </w:rPr>
              <w:t xml:space="preserve"> 1</w:t>
            </w:r>
          </w:p>
          <w:p w:rsidR="008B744D" w:rsidRPr="00B33A35" w:rsidRDefault="008B744D" w:rsidP="00BC2070">
            <w:pPr>
              <w:spacing w:line="276" w:lineRule="auto"/>
              <w:jc w:val="center"/>
            </w:pPr>
            <w:r w:rsidRPr="00B33A35">
              <w:t>Dostawa samochodu osobowego</w:t>
            </w:r>
            <w:r w:rsidR="000C7AA6">
              <w:t xml:space="preserve"> minimum</w:t>
            </w:r>
            <w:r w:rsidRPr="00B33A35">
              <w:t xml:space="preserve"> klasy średniej </w:t>
            </w:r>
            <w:r>
              <w:t xml:space="preserve">z </w:t>
            </w:r>
            <w:r w:rsidRPr="00B33A35">
              <w:t>segment</w:t>
            </w:r>
            <w:r>
              <w:t>u</w:t>
            </w:r>
            <w:r w:rsidRPr="00B33A35">
              <w:t xml:space="preserve"> "D" według klasyfikacji pojazdów zgodnej z raportem Instytutu Ba</w:t>
            </w:r>
            <w:r>
              <w:t xml:space="preserve">dań Rynku Motoryzacyjnego SAMAR. Typ </w:t>
            </w:r>
            <w:proofErr w:type="spellStart"/>
            <w:r>
              <w:t>hatchback</w:t>
            </w:r>
            <w:proofErr w:type="spellEnd"/>
            <w:r>
              <w:t xml:space="preserve"> lub sedan.</w:t>
            </w:r>
            <w:r w:rsidRPr="00B33A35">
              <w:t xml:space="preserve"> Samochód musi być rejestrowany w dowodzie</w:t>
            </w:r>
            <w:r>
              <w:t xml:space="preserve"> rejestracyjnym na 5 miejsc.</w:t>
            </w:r>
          </w:p>
          <w:p w:rsidR="008B744D" w:rsidRPr="001F304F" w:rsidRDefault="008B744D" w:rsidP="001F3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5F1A80" w:rsidRPr="001F304F" w:rsidTr="00F306C9">
        <w:trPr>
          <w:trHeight w:val="252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1F304F" w:rsidRPr="001F304F" w:rsidRDefault="001F304F" w:rsidP="001F3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1F304F" w:rsidRPr="001F304F" w:rsidRDefault="001F304F" w:rsidP="001F3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73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vAlign w:val="center"/>
            <w:hideMark/>
          </w:tcPr>
          <w:p w:rsidR="001F304F" w:rsidRPr="001F304F" w:rsidRDefault="001F304F" w:rsidP="001F3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Wymagania zamawiającego</w:t>
            </w:r>
          </w:p>
        </w:tc>
      </w:tr>
      <w:tr w:rsidR="00B00EC1" w:rsidRPr="001F304F" w:rsidTr="00F306C9">
        <w:trPr>
          <w:trHeight w:val="356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Nadwozie</w:t>
            </w:r>
          </w:p>
        </w:tc>
        <w:tc>
          <w:tcPr>
            <w:tcW w:w="73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Para drzwi bocznych skrzydłowych po obu stronach pojazdu + klapa przestrzeni bagażowej;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Wszystkie drzwi przeszklone;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Rozstaw osi nie mniejszy niż 2750 mm;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Długość całkowita pojazdu nie mniejsza niż 4750 mm;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Wysokość całkowita pojazdu nie mniejsza niż 1450 mm;</w:t>
            </w:r>
          </w:p>
        </w:tc>
      </w:tr>
      <w:tr w:rsidR="00B00EC1" w:rsidRPr="001F304F" w:rsidTr="0064675A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  <w:r w:rsidR="000C7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Pojemność bagażnika min. 55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 l;</w:t>
            </w:r>
          </w:p>
        </w:tc>
      </w:tr>
      <w:tr w:rsidR="00B00EC1" w:rsidRPr="001F304F" w:rsidTr="0064675A">
        <w:trPr>
          <w:trHeight w:val="252"/>
        </w:trPr>
        <w:tc>
          <w:tcPr>
            <w:tcW w:w="3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73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00EC1" w:rsidRPr="001F304F" w:rsidRDefault="005E1649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1. </w:t>
            </w:r>
            <w:r w:rsidR="00B00EC1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Wyprodukowany nie wcześniej niż w 2018 r., fabrycznie nowy;</w:t>
            </w:r>
          </w:p>
        </w:tc>
      </w:tr>
      <w:tr w:rsidR="00B00EC1" w:rsidRPr="001F304F" w:rsidTr="00785771">
        <w:trPr>
          <w:trHeight w:val="240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Silnik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 Pojemność silnika nie mniejsza niż 1980 cm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2. Moc silnika nie mniejsza niż 200 KM;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3. Rodzaj paliwa – benzyna;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4. Emisja dwutlenku węgla maks. 160 g/km;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 Zużycie paliwa w cyklu mieszanym - nie większe ni</w:t>
            </w:r>
            <w:r w:rsidRPr="001F304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 9,0 litra/100 km;</w:t>
            </w:r>
          </w:p>
        </w:tc>
      </w:tr>
      <w:tr w:rsidR="00B00EC1" w:rsidRPr="001F304F" w:rsidTr="00785771">
        <w:trPr>
          <w:trHeight w:val="35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6. Dopuszczalna emisja zanieczyszczeń, tlenku azotu, cząstek stałych oraz węglowodorów spełniająca wymogi minimum dla Europejskiego standardu Emisji Spalin EURO 6;</w:t>
            </w:r>
          </w:p>
        </w:tc>
      </w:tr>
      <w:tr w:rsidR="00B00EC1" w:rsidRPr="001F304F" w:rsidTr="00785771">
        <w:trPr>
          <w:trHeight w:val="252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Układy</w:t>
            </w:r>
          </w:p>
        </w:tc>
        <w:tc>
          <w:tcPr>
            <w:tcW w:w="73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 Napędowy:</w:t>
            </w:r>
          </w:p>
        </w:tc>
      </w:tr>
      <w:tr w:rsidR="00B00EC1" w:rsidRPr="001F304F" w:rsidTr="00785771">
        <w:trPr>
          <w:trHeight w:val="252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00EC1" w:rsidRPr="001F304F" w:rsidRDefault="005E1649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B00EC1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napęd na przednią oś,</w:t>
            </w:r>
          </w:p>
        </w:tc>
      </w:tr>
      <w:tr w:rsidR="00B00EC1" w:rsidRPr="001F304F" w:rsidTr="00785771">
        <w:trPr>
          <w:trHeight w:val="240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00EC1" w:rsidRPr="001F304F" w:rsidRDefault="00D73125" w:rsidP="00D731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bookmarkStart w:id="0" w:name="_GoBack"/>
            <w:bookmarkEnd w:id="0"/>
            <w:r w:rsidR="00B00EC1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skrzynia biegów: minimum 6 biegów + wsteczny;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2. Kierowania: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00EC1" w:rsidRPr="001F304F" w:rsidRDefault="005E1649" w:rsidP="00B00EC1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B00EC1" w:rsidRPr="001F304F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układ kierowniczy ze wspomaganiem,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00EC1" w:rsidRPr="001F304F" w:rsidRDefault="005E1649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B00EC1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kierownica z lewej strony,</w:t>
            </w:r>
          </w:p>
        </w:tc>
      </w:tr>
      <w:tr w:rsidR="00B00EC1" w:rsidRPr="001F304F" w:rsidTr="00785771">
        <w:trPr>
          <w:trHeight w:val="240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00EC1" w:rsidRPr="001F304F" w:rsidRDefault="005E1649" w:rsidP="00B00EC1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B00EC1" w:rsidRPr="001F304F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regulacja położenia koła kierownicy i kolumny kierowniczej  w dwóch płaszczyznach (pionowej i poziomej);</w:t>
            </w:r>
          </w:p>
        </w:tc>
      </w:tr>
      <w:tr w:rsidR="00B00EC1" w:rsidRPr="001F304F" w:rsidTr="00785771">
        <w:trPr>
          <w:trHeight w:val="240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Systemy i inne elementy podnoszące bezpieczeństwo jazdy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 System zapobiegający blokowaniu kół przy hamowaniu;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2. System stabilizacji toru jazdy i  kontroli trakcji;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3. System wspomagania hamowania awaryjnego;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4. System zapobiegający poślizgowi kół przy ruszaniu pojazdu;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 System ułatwiający ruszanie pod górę;</w:t>
            </w:r>
          </w:p>
        </w:tc>
      </w:tr>
      <w:tr w:rsidR="00B00EC1" w:rsidRPr="001F304F" w:rsidTr="00785771">
        <w:trPr>
          <w:trHeight w:val="344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6. Trzypunktowe pasy </w:t>
            </w:r>
            <w:r w:rsidR="008B744D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bezpieczeństwa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dla </w:t>
            </w:r>
            <w:r w:rsidR="00E63C2E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wszystkich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miejsc siedzących. Pasy bezpieczeństwa dla foteli przednich z regulacją górnych punktów kotwiczenia i napinaczami;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7. Poduszki gazowe przednie dla kierowcy i pasażera;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8. Poduszki gazowe boczne dla kierowcy i pasażera;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 Poduszki(a) gazowe kolanowe kierowcy;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10. Kurtyny gazowe boczne </w:t>
            </w:r>
            <w:r w:rsidR="00E63C2E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obejmujące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swym działaniem pierwszy oraz drugi rząd siedzeń;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 Poduszki gazowe boczne dla pasażerów tylnej kanapy;</w:t>
            </w:r>
          </w:p>
        </w:tc>
      </w:tr>
      <w:tr w:rsidR="00B00EC1" w:rsidRPr="001F304F" w:rsidTr="007857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12. System kontroli </w:t>
            </w:r>
            <w:r w:rsidR="00E63C2E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ciśnienia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w kołach;</w:t>
            </w:r>
          </w:p>
        </w:tc>
      </w:tr>
      <w:tr w:rsidR="00B00EC1" w:rsidRPr="001F304F" w:rsidTr="00924812">
        <w:trPr>
          <w:trHeight w:val="240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13. Alarm niezamierzonego przekroczenia </w:t>
            </w:r>
            <w:r w:rsidR="00E63C2E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linii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jezdni;</w:t>
            </w:r>
          </w:p>
        </w:tc>
      </w:tr>
      <w:tr w:rsidR="00B00EC1" w:rsidRPr="001F304F" w:rsidTr="003A4571">
        <w:trPr>
          <w:trHeight w:val="240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004DDB" w:rsidP="00B0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  <w:r w:rsidR="00B00EC1"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Oświetlenie pojazdu</w:t>
            </w:r>
          </w:p>
        </w:tc>
        <w:tc>
          <w:tcPr>
            <w:tcW w:w="73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1. Światła mijania w technologii </w:t>
            </w:r>
            <w:proofErr w:type="spellStart"/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ksenowej</w:t>
            </w:r>
            <w:proofErr w:type="spellEnd"/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lub LED;</w:t>
            </w:r>
          </w:p>
        </w:tc>
      </w:tr>
      <w:tr w:rsidR="00B00EC1" w:rsidRPr="001F304F" w:rsidTr="003A4571">
        <w:trPr>
          <w:trHeight w:val="344"/>
        </w:trPr>
        <w:tc>
          <w:tcPr>
            <w:tcW w:w="3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2. Światła przeciwmgłowe przednie posiadające homologację; wbudowane w zderzak lub spojler lub światła zintegrowane z lampami zespolonymi;</w:t>
            </w:r>
          </w:p>
        </w:tc>
      </w:tr>
      <w:tr w:rsidR="00B00EC1" w:rsidRPr="001F304F" w:rsidTr="003A4571">
        <w:trPr>
          <w:trHeight w:val="344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3. Światła do jazdy dziennej wykonane w technologii LED z oferty producenta pojazdów, posiadające homologację, wbudowane w zderzak lub światła zintegrowane z lampami zespolonymi;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4. Tylne lampy w technologii LED;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 Światła awaryjne włączone przy gwałtownym hamowaniu;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6. Oświetlenie wnętrza pojazdu nad pierwszym i drugim rzędem siedzeń;</w:t>
            </w:r>
          </w:p>
        </w:tc>
      </w:tr>
      <w:tr w:rsidR="00B00EC1" w:rsidRPr="001F304F" w:rsidTr="003A4571">
        <w:trPr>
          <w:trHeight w:val="240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7. Oświetlenie przestrzeni bagażowej;</w:t>
            </w:r>
          </w:p>
        </w:tc>
      </w:tr>
      <w:tr w:rsidR="00B00EC1" w:rsidRPr="001F304F" w:rsidTr="003A4571">
        <w:trPr>
          <w:trHeight w:val="356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004DDB" w:rsidP="00B0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B00EC1"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1. Regulacja fotela kierowcy i pasażera, co najmniej w dwóch płaszczyznach (przód-tył, góra-dół), regulacja oparcia foteli przednich w zakresie co najmniej pochylenia oparcia, regulacja pod </w:t>
            </w:r>
            <w:r w:rsidR="00E63C2E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lędźwie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2. Centralny zamek sterowany pilotem, dla wszystkich drzwi pojazdu oraz pokrywy przestrzeni bagażowej;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3. </w:t>
            </w:r>
            <w:r w:rsidR="00E63C2E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Możliwość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otwierania drzwi przednich lewych w przypadku zaniku napięcia lub awarii za pomocą kluczyka;</w:t>
            </w:r>
          </w:p>
        </w:tc>
      </w:tr>
      <w:tr w:rsidR="00B00EC1" w:rsidRPr="001F304F" w:rsidTr="003A4571">
        <w:trPr>
          <w:trHeight w:val="517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4. Autoalarm sterowany pilotem (pilot fabrycznie zintegrowany z kluczykiem pojazdu, zapewniający sterowanie centralnym zamkiem, realizujący funkcję co najmniej ochrony wnętrza. Alarm powinien reagować na otwarcie </w:t>
            </w:r>
            <w:r w:rsidR="00E63C2E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każdych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drzwi pojazdu, pokrywy silnika, pokrywy przestrzeni bagażowej oraz na ruch we </w:t>
            </w:r>
            <w:r w:rsidR="00E63C2E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wnętrzu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pojazdu; </w:t>
            </w:r>
            <w:proofErr w:type="spellStart"/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immobilizer</w:t>
            </w:r>
            <w:proofErr w:type="spellEnd"/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 Czujnik parkowania (lub kamery) z tyłu i przodu pojazdu montowane fabrycznie;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6. Komputer pokładowy z obsługą w języku polskim;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7. Elektryczne opuszczanie i podnoszenie szyb - przód i tył;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8. Lusterko wsteczne samo </w:t>
            </w:r>
            <w:r w:rsidR="00E63C2E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ściemniające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się;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9. Lusterka zewnętrzne elektrycznie sterowane, podgrzewane z </w:t>
            </w:r>
            <w:r w:rsidR="00E63C2E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funkcją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ich elektrycznego składania;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 Podgrzewane fotele przednie;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 Kierownica wielofunkcyjna skórzana;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 Wykończenie gałki dźwigni zmiany biegów w skórze;</w:t>
            </w:r>
          </w:p>
        </w:tc>
      </w:tr>
      <w:tr w:rsidR="00B00EC1" w:rsidRPr="001F304F" w:rsidTr="003A4571">
        <w:trPr>
          <w:trHeight w:val="344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 Sy</w:t>
            </w:r>
            <w:r w:rsidR="00E63C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stem audio wyposażony w odtwarzacz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MP3, gniazdo AUX, gniazdo USB, obsługa Bluetooth, zestaw do obsługi telefonu komórkowego, minimum 4 głośniki, </w:t>
            </w:r>
            <w:r w:rsidR="00E63C2E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antenę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 Minimum dwustrefowa fabryczna klimatyzacja (automatyczna);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15. Szyba przednia i </w:t>
            </w:r>
            <w:r w:rsidR="00E63C2E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tylna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podgrzewana wyposażona w wycieraczkę i spryskiwacz;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16. Tylne szyby przyciemniane - przepuszczalność światła maksymalnie 15%; 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 Podgrzewane dysze spryskiwaczy szyby przedniej;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18. Czujnik deszczu;</w:t>
            </w:r>
          </w:p>
        </w:tc>
      </w:tr>
      <w:tr w:rsidR="00B00EC1" w:rsidRPr="001F304F" w:rsidTr="003A4571">
        <w:trPr>
          <w:trHeight w:val="344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19. Materiały obiciowe siedzeń I-go i II-go rzędu oraz wszystkich elementów wykończenia wnętrza pojazdu znajdujących się poniżej linii szyb muszą być w kolorze ciemnym, łatwym w utrzymaniu czystości; </w:t>
            </w:r>
            <w:proofErr w:type="spellStart"/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alcantara</w:t>
            </w:r>
            <w:proofErr w:type="spellEnd"/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lub skóra;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20. Podłokietnik z przodu;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 Dwa komplety kluczyków/kart do pojazdu i pilotów do sterowania centralnym zamkiem;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22. Komplet dywaników gumowych dla I-go i II-go rzędu siedzeń oraz przestrzeni ładunkowej;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23. Dwie ramki pod tablice rejestracyjne zamontowane na pojeździe. Na ramkach nie mogą się znajdować żadne napisy;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 Fotele przednie/tylna kanapa wyposażone w zagłówki z regulacją wysokości;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25. Składana półka/roleta zasłaniająca część bagażową;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 Tempomat aktywny;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 Reflektory automatyczne – czujnik zmierzchu;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28. Czujnik temperatury </w:t>
            </w:r>
            <w:r w:rsidR="00E63C2E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zewnętrznej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29. Część bagażowa wyposażona w co najmniej 4 uchwyty do kotwiczenia ładunku + siatka zabezpieczająca bagaż;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 Apteczka typu samochodowego;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665E1E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</w:t>
            </w:r>
            <w:r w:rsidR="00B00EC1"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Gaśnica samochodowa z homologacją min. 1 kg;</w:t>
            </w:r>
          </w:p>
        </w:tc>
      </w:tr>
      <w:tr w:rsidR="00B00EC1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0EC1" w:rsidRPr="001F304F" w:rsidRDefault="00B00EC1" w:rsidP="00B00E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32. Trójkąt ostrzegawczy;</w:t>
            </w:r>
          </w:p>
        </w:tc>
      </w:tr>
      <w:tr w:rsidR="00004DDB" w:rsidRPr="001F304F" w:rsidTr="003A4571">
        <w:trPr>
          <w:trHeight w:val="344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04DDB" w:rsidRPr="00F97A87" w:rsidRDefault="00004DDB" w:rsidP="00004D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33. 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Komplet 4 kół z oponami bezdętkowymi,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zimowymi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z fabrycznej oferty producenta pojazdów, na felgach aluminiowych - o rozmiarze co najmniej 17 cali. Opony nie mogą być starsze niż z 2018 roku, muszą być fabrycznie nowe i homologowane. Indeks prędkości opony winien odpowiadać co najmniej maksymalnej prędkości konstrukcyjnej pojazdu, wyszczególnionej w dokumentacji homologacyjnej;</w:t>
            </w:r>
          </w:p>
        </w:tc>
      </w:tr>
      <w:tr w:rsidR="00004DDB" w:rsidRPr="001F304F" w:rsidTr="003A4571">
        <w:trPr>
          <w:trHeight w:val="344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04DDB" w:rsidRPr="00F97A87" w:rsidRDefault="00004DDB" w:rsidP="00B959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</w:t>
            </w:r>
            <w:r w:rsidR="0012786F" w:rsidRPr="0012786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Dodatkowy komplet 4 opon bezdętkowych letnich, na felgach aluminiowych - o rozmiarze co najmniej 17 cali  (samochód w momencie dostawy powinien mieć zainstalowane opony zimowe). Opony nie mogą być starsze niż z 2018 roku, muszą być fabrycznie nowe i homologowane. Indeks prędkości opony winien odpowiadać co najmniej maksymalnej prędkości konstrukcyjnej pojazdu, wyszczególnionej w dokumentacji homologacyjnej;</w:t>
            </w:r>
          </w:p>
        </w:tc>
      </w:tr>
      <w:tr w:rsidR="00004DDB" w:rsidRPr="001F304F" w:rsidTr="003A4571">
        <w:trPr>
          <w:trHeight w:val="344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F97A87" w:rsidRDefault="009948BC" w:rsidP="00004D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948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35. Koło zapasowe (pełnowymiarowe lub dojazdowe) wraz z podnośnikiem i kluczem;</w:t>
            </w:r>
          </w:p>
        </w:tc>
      </w:tr>
      <w:tr w:rsidR="00004DDB" w:rsidRPr="001F304F" w:rsidTr="003A4571">
        <w:trPr>
          <w:trHeight w:val="240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36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Nawigacja satelitarna;</w:t>
            </w:r>
          </w:p>
        </w:tc>
      </w:tr>
      <w:tr w:rsidR="00004DDB" w:rsidRPr="001F304F" w:rsidTr="003A4571">
        <w:trPr>
          <w:trHeight w:val="391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Barwa nadwozia</w:t>
            </w:r>
          </w:p>
        </w:tc>
        <w:tc>
          <w:tcPr>
            <w:tcW w:w="73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Nadwozie lakierowane w kolorze czarnym - metalizowany lub perłowy;</w:t>
            </w:r>
          </w:p>
        </w:tc>
      </w:tr>
      <w:tr w:rsidR="00004DDB" w:rsidRPr="001F304F" w:rsidTr="003A4571">
        <w:trPr>
          <w:trHeight w:val="240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Wymagania dot. gwarancji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 Gwarancja minimum:</w:t>
            </w:r>
          </w:p>
        </w:tc>
      </w:tr>
      <w:tr w:rsidR="00004DDB" w:rsidRPr="001F304F" w:rsidTr="003A4571">
        <w:trPr>
          <w:trHeight w:val="344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341A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341A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miesiące lub przebieg minimum 100 tysięcy km (w zależności co nastąpi pierwsze) na wszystkie zespoły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i podzespoły samochodu bez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wyłączeń</w:t>
            </w:r>
            <w:proofErr w:type="spellEnd"/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– obejmująca prawidłowe funkcjonowanie samochodu, wady materiałowe i fabryczne, mechanikę,</w:t>
            </w:r>
          </w:p>
        </w:tc>
      </w:tr>
      <w:tr w:rsidR="00004DDB" w:rsidRPr="001F304F" w:rsidTr="003A4571">
        <w:trPr>
          <w:trHeight w:val="228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60 miesięcy na perforację karoserii,</w:t>
            </w:r>
          </w:p>
        </w:tc>
      </w:tr>
      <w:tr w:rsidR="00004DDB" w:rsidRPr="001F304F" w:rsidTr="003A4571">
        <w:trPr>
          <w:trHeight w:val="228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60 miesięcy na powłokę nadwozia (lakier),</w:t>
            </w:r>
          </w:p>
        </w:tc>
      </w:tr>
      <w:tr w:rsidR="00004DDB" w:rsidRPr="001F304F" w:rsidTr="003A4571">
        <w:trPr>
          <w:trHeight w:val="517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2. Okres gwarancji biegnie od dnia podpisania, bez zastrzeżeń Użytkownika, protokołu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przekazania-odbioru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samochodu. Gwarancja nie obejmuje materiałów eksploatacyjnych. Dla utrzymania gwarancji wykonawca nie może żądać serwisowania wyłącznie w stacjach obsługi autoryzowanych przez producenta samochodu;</w:t>
            </w:r>
          </w:p>
        </w:tc>
      </w:tr>
      <w:tr w:rsidR="00004DDB" w:rsidRPr="001F304F" w:rsidTr="003A4571">
        <w:trPr>
          <w:trHeight w:val="35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4DDB" w:rsidRPr="001F304F" w:rsidRDefault="00004DDB" w:rsidP="00004D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3. Przeglądy okresowe oraz naprawy w ramach gwarancji realizowane będą w autoryzowanej stacji obsługi (ASO) wskazanej przez Wykonawcę i zlokalizowanej najbliżej miejsc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 użytkowania przedmiotu umowy;</w:t>
            </w:r>
            <w:r w:rsidRPr="001F30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A935E0" w:rsidRDefault="00A935E0" w:rsidP="00A935E0"/>
    <w:p w:rsidR="00F97A87" w:rsidRDefault="00F97A87" w:rsidP="00A935E0"/>
    <w:sectPr w:rsidR="00F97A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9E" w:rsidRDefault="0069129E" w:rsidP="00132C3F">
      <w:pPr>
        <w:spacing w:after="0" w:line="240" w:lineRule="auto"/>
      </w:pPr>
      <w:r>
        <w:separator/>
      </w:r>
    </w:p>
  </w:endnote>
  <w:endnote w:type="continuationSeparator" w:id="0">
    <w:p w:rsidR="0069129E" w:rsidRDefault="0069129E" w:rsidP="0013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33236824"/>
      <w:docPartObj>
        <w:docPartGallery w:val="Page Numbers (Bottom of Page)"/>
        <w:docPartUnique/>
      </w:docPartObj>
    </w:sdtPr>
    <w:sdtEndPr/>
    <w:sdtContent>
      <w:p w:rsidR="00132C3F" w:rsidRDefault="00132C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73125" w:rsidRPr="00D73125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32C3F" w:rsidRDefault="00132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9E" w:rsidRDefault="0069129E" w:rsidP="00132C3F">
      <w:pPr>
        <w:spacing w:after="0" w:line="240" w:lineRule="auto"/>
      </w:pPr>
      <w:r>
        <w:separator/>
      </w:r>
    </w:p>
  </w:footnote>
  <w:footnote w:type="continuationSeparator" w:id="0">
    <w:p w:rsidR="0069129E" w:rsidRDefault="0069129E" w:rsidP="0013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84" w:rsidRPr="00331C08" w:rsidRDefault="00096884" w:rsidP="00096884">
    <w:pPr>
      <w:pStyle w:val="Tekstpodstawowywcity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i/>
        <w:sz w:val="22"/>
        <w:szCs w:val="22"/>
      </w:rPr>
    </w:pPr>
    <w:r w:rsidRPr="00C30A8A">
      <w:rPr>
        <w:i/>
        <w:sz w:val="22"/>
        <w:szCs w:val="22"/>
      </w:rPr>
      <w:t xml:space="preserve">Zamówienie publiczne  </w:t>
    </w:r>
    <w:r w:rsidRPr="005662FD">
      <w:rPr>
        <w:i/>
        <w:sz w:val="22"/>
        <w:szCs w:val="22"/>
      </w:rPr>
      <w:t xml:space="preserve">nr </w:t>
    </w:r>
    <w:r w:rsidRPr="005662FD">
      <w:rPr>
        <w:bCs/>
        <w:i/>
      </w:rPr>
      <w:t>0201-ILZ.260.</w:t>
    </w:r>
    <w:r>
      <w:rPr>
        <w:bCs/>
        <w:i/>
      </w:rPr>
      <w:t>38</w:t>
    </w:r>
    <w:r w:rsidRPr="005662FD">
      <w:rPr>
        <w:bCs/>
        <w:i/>
      </w:rPr>
      <w:t>.2018</w:t>
    </w:r>
    <w:r>
      <w:rPr>
        <w:b/>
        <w:bCs/>
      </w:rPr>
      <w:t xml:space="preserve"> </w:t>
    </w:r>
    <w:r w:rsidRPr="00C30A8A">
      <w:rPr>
        <w:i/>
        <w:sz w:val="22"/>
        <w:szCs w:val="22"/>
      </w:rPr>
      <w:t xml:space="preserve">w trybie przetargu nieograniczonego </w:t>
    </w:r>
    <w:r w:rsidRPr="00C30A8A">
      <w:rPr>
        <w:i/>
        <w:sz w:val="22"/>
        <w:szCs w:val="22"/>
      </w:rPr>
      <w:br/>
      <w:t xml:space="preserve">na </w:t>
    </w:r>
    <w:r>
      <w:rPr>
        <w:i/>
        <w:sz w:val="22"/>
        <w:szCs w:val="22"/>
      </w:rPr>
      <w:t>dostawę samochodów osobowych</w:t>
    </w:r>
  </w:p>
  <w:p w:rsidR="00096884" w:rsidRDefault="000968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2D"/>
    <w:rsid w:val="00004DDB"/>
    <w:rsid w:val="000278C8"/>
    <w:rsid w:val="00096884"/>
    <w:rsid w:val="000A076D"/>
    <w:rsid w:val="000B6DDC"/>
    <w:rsid w:val="000C6795"/>
    <w:rsid w:val="000C7AA6"/>
    <w:rsid w:val="0012786F"/>
    <w:rsid w:val="00132C3F"/>
    <w:rsid w:val="00135857"/>
    <w:rsid w:val="001E3A1E"/>
    <w:rsid w:val="001F304F"/>
    <w:rsid w:val="0020604C"/>
    <w:rsid w:val="002C678C"/>
    <w:rsid w:val="002E5409"/>
    <w:rsid w:val="00341A21"/>
    <w:rsid w:val="0034797B"/>
    <w:rsid w:val="00376CB8"/>
    <w:rsid w:val="003961C7"/>
    <w:rsid w:val="003A4571"/>
    <w:rsid w:val="003F0F96"/>
    <w:rsid w:val="004409EE"/>
    <w:rsid w:val="00465BE7"/>
    <w:rsid w:val="005035AD"/>
    <w:rsid w:val="00530C86"/>
    <w:rsid w:val="0054544A"/>
    <w:rsid w:val="00551E20"/>
    <w:rsid w:val="005869C9"/>
    <w:rsid w:val="005A6EA4"/>
    <w:rsid w:val="005E1649"/>
    <w:rsid w:val="005F1A80"/>
    <w:rsid w:val="005F473D"/>
    <w:rsid w:val="0064675A"/>
    <w:rsid w:val="00665E1E"/>
    <w:rsid w:val="0069129E"/>
    <w:rsid w:val="0070702D"/>
    <w:rsid w:val="007268F6"/>
    <w:rsid w:val="007851C5"/>
    <w:rsid w:val="00785771"/>
    <w:rsid w:val="007F3504"/>
    <w:rsid w:val="00800192"/>
    <w:rsid w:val="00867FE7"/>
    <w:rsid w:val="008B744D"/>
    <w:rsid w:val="0090575C"/>
    <w:rsid w:val="00924812"/>
    <w:rsid w:val="0093689A"/>
    <w:rsid w:val="009948BC"/>
    <w:rsid w:val="00995918"/>
    <w:rsid w:val="009A2038"/>
    <w:rsid w:val="00A15F6B"/>
    <w:rsid w:val="00A935E0"/>
    <w:rsid w:val="00AD72ED"/>
    <w:rsid w:val="00B00EC1"/>
    <w:rsid w:val="00B040D0"/>
    <w:rsid w:val="00B33A35"/>
    <w:rsid w:val="00B9592D"/>
    <w:rsid w:val="00B95F24"/>
    <w:rsid w:val="00BA3079"/>
    <w:rsid w:val="00BC2070"/>
    <w:rsid w:val="00C95AE2"/>
    <w:rsid w:val="00D6255D"/>
    <w:rsid w:val="00D73125"/>
    <w:rsid w:val="00D81DA0"/>
    <w:rsid w:val="00E532AF"/>
    <w:rsid w:val="00E63C2E"/>
    <w:rsid w:val="00F14692"/>
    <w:rsid w:val="00F16DEE"/>
    <w:rsid w:val="00F306C9"/>
    <w:rsid w:val="00F97A87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DD0E-CE18-40B2-96FB-8D0C851A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C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C3F"/>
  </w:style>
  <w:style w:type="paragraph" w:styleId="Stopka">
    <w:name w:val="footer"/>
    <w:basedOn w:val="Normalny"/>
    <w:link w:val="StopkaZnak"/>
    <w:uiPriority w:val="99"/>
    <w:unhideWhenUsed/>
    <w:rsid w:val="0013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C3F"/>
  </w:style>
  <w:style w:type="paragraph" w:styleId="Tekstpodstawowywcity">
    <w:name w:val="Body Text Indent"/>
    <w:basedOn w:val="Normalny"/>
    <w:link w:val="TekstpodstawowywcityZnak"/>
    <w:rsid w:val="0009688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68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87AF-08BE-4BD1-BF69-FB04192F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 Rafał</dc:creator>
  <cp:keywords/>
  <dc:description/>
  <cp:lastModifiedBy>Agnieszka Mateuszuk-Karal</cp:lastModifiedBy>
  <cp:revision>152</cp:revision>
  <dcterms:created xsi:type="dcterms:W3CDTF">2018-06-26T09:45:00Z</dcterms:created>
  <dcterms:modified xsi:type="dcterms:W3CDTF">2018-07-05T12:09:00Z</dcterms:modified>
</cp:coreProperties>
</file>