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F" w:rsidRDefault="00CD0B5F">
      <w:pPr>
        <w:spacing w:after="30" w:line="259" w:lineRule="auto"/>
        <w:ind w:right="6"/>
        <w:jc w:val="center"/>
        <w:rPr>
          <w:rFonts w:eastAsia="SimSun"/>
          <w:b/>
          <w:sz w:val="24"/>
          <w:szCs w:val="24"/>
          <w:lang w:eastAsia="zh-CN" w:bidi="hi-IN"/>
        </w:rPr>
      </w:pPr>
      <w:r>
        <w:rPr>
          <w:rFonts w:eastAsia="SimSun"/>
          <w:b/>
          <w:sz w:val="24"/>
          <w:szCs w:val="24"/>
          <w:lang w:eastAsia="zh-CN" w:bidi="hi-IN"/>
        </w:rPr>
        <w:t>OPIS PRZEDMIOTU ZAMÓWIENIA</w:t>
      </w:r>
    </w:p>
    <w:p w:rsidR="00CD0B5F" w:rsidRDefault="00CD0B5F" w:rsidP="00CD0B5F">
      <w:pPr>
        <w:pStyle w:val="Tekstpodstawowy"/>
        <w:spacing w:line="360" w:lineRule="auto"/>
        <w:ind w:left="360"/>
        <w:jc w:val="center"/>
        <w:rPr>
          <w:b/>
        </w:rPr>
      </w:pPr>
      <w:r>
        <w:rPr>
          <w:b/>
        </w:rPr>
        <w:t xml:space="preserve">CZĘŚĆ I ZAMÓWIENIA </w:t>
      </w:r>
    </w:p>
    <w:p w:rsidR="00CD0B5F" w:rsidRPr="00C911E1" w:rsidRDefault="00CD0B5F" w:rsidP="00CD0B5F">
      <w:pPr>
        <w:pStyle w:val="Tekstpodstawowy"/>
        <w:spacing w:line="360" w:lineRule="auto"/>
        <w:ind w:left="360"/>
        <w:jc w:val="center"/>
      </w:pPr>
      <w:r w:rsidRPr="00C911E1">
        <w:rPr>
          <w:b/>
        </w:rPr>
        <w:t xml:space="preserve">dostawa </w:t>
      </w:r>
      <w:r w:rsidRPr="00C911E1">
        <w:rPr>
          <w:b/>
          <w:color w:val="000000"/>
        </w:rPr>
        <w:t>p</w:t>
      </w:r>
      <w:r w:rsidRPr="00C911E1">
        <w:rPr>
          <w:b/>
        </w:rPr>
        <w:t>akietów oprogramowania biurowego i s</w:t>
      </w:r>
      <w:r w:rsidRPr="00C911E1">
        <w:rPr>
          <w:b/>
          <w:color w:val="000000"/>
        </w:rPr>
        <w:t>ystemu operacyjnego</w:t>
      </w:r>
    </w:p>
    <w:p w:rsidR="00CD0B5F" w:rsidRDefault="00CD0B5F">
      <w:pPr>
        <w:spacing w:after="30" w:line="259" w:lineRule="auto"/>
        <w:ind w:right="6"/>
        <w:jc w:val="center"/>
        <w:rPr>
          <w:b/>
        </w:rPr>
      </w:pPr>
    </w:p>
    <w:p w:rsidR="00CD0B5F" w:rsidRDefault="00CD0B5F">
      <w:pPr>
        <w:spacing w:after="30" w:line="259" w:lineRule="auto"/>
        <w:ind w:right="6"/>
        <w:jc w:val="center"/>
        <w:rPr>
          <w:b/>
        </w:rPr>
      </w:pPr>
      <w:bookmarkStart w:id="0" w:name="_GoBack"/>
      <w:bookmarkEnd w:id="0"/>
    </w:p>
    <w:p w:rsidR="003F66D5" w:rsidRDefault="005E54C9">
      <w:pPr>
        <w:spacing w:after="30" w:line="259" w:lineRule="auto"/>
        <w:ind w:right="6"/>
        <w:jc w:val="center"/>
        <w:rPr>
          <w:b/>
        </w:rPr>
      </w:pPr>
      <w:r>
        <w:rPr>
          <w:b/>
        </w:rPr>
        <w:t xml:space="preserve">Opis przedmiotu zamówienia  </w:t>
      </w:r>
    </w:p>
    <w:p w:rsidR="006F658C" w:rsidRDefault="005E54C9">
      <w:r>
        <w:t>Przedmiotem zamówienia jest dostawa</w:t>
      </w:r>
      <w:r w:rsidR="006F658C">
        <w:t>:</w:t>
      </w:r>
    </w:p>
    <w:p w:rsidR="006F658C" w:rsidRPr="00F01515" w:rsidRDefault="006F658C">
      <w:r>
        <w:rPr>
          <w:b/>
        </w:rPr>
        <w:t xml:space="preserve">- 4 szt. </w:t>
      </w:r>
      <w:r w:rsidR="005E54C9">
        <w:t>system operacyjny na serwer fizyczny dla instytucji rządowej</w:t>
      </w:r>
    </w:p>
    <w:p w:rsidR="006F658C" w:rsidRDefault="006F658C" w:rsidP="001525DD">
      <w:pPr>
        <w:tabs>
          <w:tab w:val="center" w:pos="4538"/>
        </w:tabs>
        <w:rPr>
          <w:b/>
        </w:rPr>
      </w:pPr>
      <w:r>
        <w:rPr>
          <w:b/>
        </w:rPr>
        <w:t xml:space="preserve">- 10 szt. </w:t>
      </w:r>
      <w:r w:rsidR="00F01515" w:rsidRPr="00F01515">
        <w:t>licencje dostępowe do oprogramowania serwerowego</w:t>
      </w:r>
      <w:r w:rsidRPr="00F01515">
        <w:t xml:space="preserve"> </w:t>
      </w:r>
      <w:r w:rsidR="001525DD" w:rsidRPr="00F01515">
        <w:tab/>
      </w:r>
    </w:p>
    <w:p w:rsidR="006F658C" w:rsidRPr="00F01515" w:rsidRDefault="006F658C" w:rsidP="00F01515">
      <w:pPr>
        <w:tabs>
          <w:tab w:val="center" w:pos="4538"/>
        </w:tabs>
      </w:pPr>
      <w:r>
        <w:rPr>
          <w:b/>
        </w:rPr>
        <w:t xml:space="preserve">- 10 szt. </w:t>
      </w:r>
      <w:r w:rsidR="00F01515" w:rsidRPr="00F01515">
        <w:t xml:space="preserve">licencje terminalowe do oprogramowania serwerowego </w:t>
      </w:r>
      <w:r w:rsidR="00F01515" w:rsidRPr="00F01515">
        <w:tab/>
      </w:r>
    </w:p>
    <w:p w:rsidR="003F66D5" w:rsidRDefault="006F658C">
      <w:r>
        <w:rPr>
          <w:b/>
        </w:rPr>
        <w:t>- 300</w:t>
      </w:r>
      <w:r w:rsidR="005E54C9">
        <w:rPr>
          <w:b/>
        </w:rPr>
        <w:t xml:space="preserve"> szt.</w:t>
      </w:r>
      <w:r w:rsidR="005E54C9">
        <w:t xml:space="preserve"> pakietów oprogramowania biurowego o parametrach opisanych w poniższej tabeli. </w:t>
      </w:r>
    </w:p>
    <w:p w:rsidR="00721E87" w:rsidRDefault="005E54C9" w:rsidP="00721E87">
      <w:pPr>
        <w:spacing w:after="236" w:line="259" w:lineRule="auto"/>
        <w:jc w:val="left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W w:w="8438" w:type="dxa"/>
        <w:tblInd w:w="7" w:type="dxa"/>
        <w:shd w:val="clear" w:color="auto" w:fill="FFFFFF" w:themeFill="background1"/>
        <w:tblCellMar>
          <w:top w:w="6" w:type="dxa"/>
          <w:left w:w="65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7495"/>
      </w:tblGrid>
      <w:tr w:rsidR="00721E87" w:rsidRPr="006F658C" w:rsidTr="003764A8">
        <w:trPr>
          <w:trHeight w:val="361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1E87" w:rsidRPr="006F658C" w:rsidRDefault="00721E87" w:rsidP="00721E87">
            <w:pPr>
              <w:spacing w:line="259" w:lineRule="auto"/>
              <w:jc w:val="center"/>
              <w:rPr>
                <w:b/>
              </w:rPr>
            </w:pPr>
            <w:r w:rsidRPr="006F658C">
              <w:rPr>
                <w:b/>
                <w:sz w:val="24"/>
              </w:rPr>
              <w:t xml:space="preserve">Opis wymogów oprogramowania </w:t>
            </w:r>
            <w:r>
              <w:rPr>
                <w:b/>
                <w:sz w:val="24"/>
              </w:rPr>
              <w:t>serwerowego</w:t>
            </w:r>
            <w:r w:rsidRPr="006F658C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4 </w:t>
            </w:r>
            <w:r w:rsidRPr="006F658C">
              <w:rPr>
                <w:b/>
                <w:sz w:val="24"/>
              </w:rPr>
              <w:t>szt.</w:t>
            </w:r>
          </w:p>
        </w:tc>
      </w:tr>
      <w:tr w:rsidR="00721E87" w:rsidTr="003764A8">
        <w:trPr>
          <w:trHeight w:val="262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E87" w:rsidRDefault="00721E87" w:rsidP="003764A8">
            <w:pPr>
              <w:spacing w:line="259" w:lineRule="auto"/>
              <w:ind w:left="876"/>
              <w:jc w:val="left"/>
            </w:pPr>
          </w:p>
        </w:tc>
      </w:tr>
      <w:tr w:rsidR="00721E87" w:rsidTr="003764A8">
        <w:trPr>
          <w:trHeight w:val="2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E87" w:rsidRDefault="00721E87" w:rsidP="003764A8">
            <w:pPr>
              <w:spacing w:line="259" w:lineRule="auto"/>
              <w:ind w:right="251"/>
              <w:jc w:val="right"/>
            </w:pPr>
            <w:r>
              <w:t>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E87" w:rsidRDefault="00721E87" w:rsidP="003764A8">
            <w:pPr>
              <w:spacing w:line="259" w:lineRule="auto"/>
              <w:ind w:left="43"/>
              <w:jc w:val="left"/>
            </w:pPr>
            <w:r>
              <w:t>Oprogramowanie w polskiej wersji językowej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left="43"/>
              <w:jc w:val="left"/>
            </w:pPr>
            <w:r>
              <w:t>Pojemność obsługiwanej pamięci RAM w ramach jednej instancji systemu operacyjnego min. 4TB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Praca w roli klienta domeny Active Directory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roli kontrolera domeny Active Directory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5.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roli serwera DHCP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6.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roli serwera DNS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7.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roli klienta i serwera czasu (NTP)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8.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roli serwera usług informacyjnych WWW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9.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roli serwera usług pulpitów zdalnych dla klientów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10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roli serwera plików z uwierzytelnieniem i autoryzacją dostępu w domenie Active Directory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 xml:space="preserve">    11.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roli serwera wydruku z uwierzytelnieniem i autoryzacją dostępu w domenie Active Directory</w:t>
            </w:r>
          </w:p>
        </w:tc>
      </w:tr>
      <w:tr w:rsidR="00F01515" w:rsidTr="003764A8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12.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Możliwość uruchomienia serwera usługi aktualizacji systemu Windows Server (WSUS)</w:t>
            </w:r>
          </w:p>
        </w:tc>
      </w:tr>
      <w:tr w:rsidR="00F01515" w:rsidTr="00E27199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13.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>Prawo do instalacji i użytkowania systemu operacyjnego na co najmniej 2 instancjach wirtualnych</w:t>
            </w:r>
          </w:p>
        </w:tc>
      </w:tr>
      <w:tr w:rsidR="00F01515" w:rsidTr="00E27199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3764A8">
            <w:pPr>
              <w:spacing w:line="259" w:lineRule="auto"/>
              <w:ind w:right="251"/>
              <w:jc w:val="right"/>
            </w:pPr>
            <w:r>
              <w:t>14.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1515" w:rsidRDefault="00F01515" w:rsidP="00721E87">
            <w:pPr>
              <w:spacing w:line="259" w:lineRule="auto"/>
              <w:ind w:left="43"/>
              <w:jc w:val="left"/>
            </w:pPr>
            <w:r>
              <w:t xml:space="preserve">Możliwość instalacji oprogramowania antywirusowego </w:t>
            </w:r>
            <w:proofErr w:type="spellStart"/>
            <w:r>
              <w:t>TrendMicro</w:t>
            </w:r>
            <w:proofErr w:type="spellEnd"/>
          </w:p>
        </w:tc>
      </w:tr>
      <w:tr w:rsidR="00E27199" w:rsidTr="00E27199">
        <w:trPr>
          <w:trHeight w:val="240"/>
        </w:trPr>
        <w:tc>
          <w:tcPr>
            <w:tcW w:w="8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7199" w:rsidRDefault="00E27199" w:rsidP="00721E87">
            <w:pPr>
              <w:spacing w:line="259" w:lineRule="auto"/>
              <w:ind w:left="43"/>
              <w:jc w:val="left"/>
            </w:pPr>
          </w:p>
        </w:tc>
      </w:tr>
      <w:tr w:rsidR="00E27199" w:rsidRPr="006F658C" w:rsidTr="00E27199">
        <w:trPr>
          <w:trHeight w:val="361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7199" w:rsidRPr="006F658C" w:rsidRDefault="00E27199" w:rsidP="00E27199">
            <w:pPr>
              <w:spacing w:line="259" w:lineRule="auto"/>
              <w:jc w:val="center"/>
              <w:rPr>
                <w:b/>
              </w:rPr>
            </w:pPr>
            <w:r w:rsidRPr="006F658C">
              <w:rPr>
                <w:b/>
                <w:sz w:val="24"/>
              </w:rPr>
              <w:t xml:space="preserve">Opis wymogów </w:t>
            </w:r>
            <w:r>
              <w:rPr>
                <w:b/>
                <w:sz w:val="24"/>
              </w:rPr>
              <w:t>licencji dostępowych</w:t>
            </w:r>
            <w:r w:rsidRPr="006F658C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10 </w:t>
            </w:r>
            <w:r w:rsidRPr="006F658C">
              <w:rPr>
                <w:b/>
                <w:sz w:val="24"/>
              </w:rPr>
              <w:t>szt.</w:t>
            </w:r>
          </w:p>
        </w:tc>
      </w:tr>
      <w:tr w:rsidR="00E27199" w:rsidTr="00E27199">
        <w:trPr>
          <w:trHeight w:val="262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199" w:rsidRDefault="00E27199" w:rsidP="003764A8">
            <w:pPr>
              <w:spacing w:line="259" w:lineRule="auto"/>
              <w:ind w:left="876"/>
              <w:jc w:val="left"/>
            </w:pPr>
          </w:p>
        </w:tc>
      </w:tr>
      <w:tr w:rsidR="00E27199" w:rsidTr="00E27199">
        <w:trPr>
          <w:trHeight w:val="2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199" w:rsidRDefault="00E27199" w:rsidP="003764A8">
            <w:pPr>
              <w:spacing w:line="259" w:lineRule="auto"/>
              <w:ind w:right="251"/>
              <w:jc w:val="right"/>
            </w:pPr>
            <w:r>
              <w:t>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199" w:rsidRDefault="00E27199" w:rsidP="00E27199">
            <w:pPr>
              <w:spacing w:line="259" w:lineRule="auto"/>
              <w:jc w:val="left"/>
            </w:pPr>
            <w:r>
              <w:t xml:space="preserve">Dostęp dla użytkowników i/lub urządzeń do </w:t>
            </w:r>
            <w:r w:rsidR="005E54C9">
              <w:t xml:space="preserve">posiadanego </w:t>
            </w:r>
            <w:r>
              <w:t>licencjonowanego systemu Windows Server 2016.</w:t>
            </w:r>
          </w:p>
        </w:tc>
      </w:tr>
      <w:tr w:rsidR="00F01515" w:rsidRPr="006F658C" w:rsidTr="00E27199">
        <w:trPr>
          <w:trHeight w:val="361"/>
        </w:trPr>
        <w:tc>
          <w:tcPr>
            <w:tcW w:w="8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1515" w:rsidRPr="006F658C" w:rsidRDefault="00F01515" w:rsidP="001525DD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1525DD" w:rsidRPr="006F658C" w:rsidTr="00E27199">
        <w:trPr>
          <w:trHeight w:val="361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25DD" w:rsidRPr="006F658C" w:rsidRDefault="001525DD" w:rsidP="001525DD">
            <w:pPr>
              <w:spacing w:line="259" w:lineRule="auto"/>
              <w:jc w:val="center"/>
              <w:rPr>
                <w:b/>
              </w:rPr>
            </w:pPr>
            <w:r w:rsidRPr="006F658C">
              <w:rPr>
                <w:b/>
                <w:sz w:val="24"/>
              </w:rPr>
              <w:t xml:space="preserve">Opis wymogów </w:t>
            </w:r>
            <w:r>
              <w:rPr>
                <w:b/>
                <w:sz w:val="24"/>
              </w:rPr>
              <w:t>licencji terminalowych</w:t>
            </w:r>
            <w:r w:rsidRPr="006F658C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10 </w:t>
            </w:r>
            <w:r w:rsidRPr="006F658C">
              <w:rPr>
                <w:b/>
                <w:sz w:val="24"/>
              </w:rPr>
              <w:t>szt.</w:t>
            </w:r>
          </w:p>
        </w:tc>
      </w:tr>
      <w:tr w:rsidR="001525DD" w:rsidTr="00E27199">
        <w:trPr>
          <w:trHeight w:val="262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25DD" w:rsidRDefault="001525DD" w:rsidP="003764A8">
            <w:pPr>
              <w:spacing w:line="259" w:lineRule="auto"/>
              <w:ind w:left="876"/>
              <w:jc w:val="left"/>
            </w:pPr>
          </w:p>
        </w:tc>
      </w:tr>
      <w:tr w:rsidR="001525DD" w:rsidTr="003764A8">
        <w:trPr>
          <w:trHeight w:val="2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25DD" w:rsidRDefault="001525DD" w:rsidP="003764A8">
            <w:pPr>
              <w:spacing w:line="259" w:lineRule="auto"/>
              <w:ind w:right="251"/>
              <w:jc w:val="right"/>
            </w:pPr>
            <w:r>
              <w:t>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25DD" w:rsidRDefault="007D2091" w:rsidP="001525DD">
            <w:pPr>
              <w:spacing w:line="259" w:lineRule="auto"/>
              <w:jc w:val="left"/>
            </w:pPr>
            <w:r>
              <w:t>Dostęp dla u</w:t>
            </w:r>
            <w:r w:rsidR="00DF1532">
              <w:t xml:space="preserve">żytkowników i/lub urządzeń do </w:t>
            </w:r>
            <w:r w:rsidR="005E54C9">
              <w:t xml:space="preserve">posiadanego </w:t>
            </w:r>
            <w:r w:rsidR="00DF1532">
              <w:t>licencjonowanego systemu Windows Server 2016 z wykorzystaniem usług pulpitu zdalnego.</w:t>
            </w:r>
          </w:p>
        </w:tc>
      </w:tr>
    </w:tbl>
    <w:p w:rsidR="00721E87" w:rsidRDefault="00721E87">
      <w:pPr>
        <w:spacing w:after="236" w:line="259" w:lineRule="auto"/>
        <w:jc w:val="left"/>
      </w:pPr>
    </w:p>
    <w:tbl>
      <w:tblPr>
        <w:tblStyle w:val="TableGrid"/>
        <w:tblW w:w="8438" w:type="dxa"/>
        <w:tblInd w:w="7" w:type="dxa"/>
        <w:shd w:val="clear" w:color="auto" w:fill="FFFFFF" w:themeFill="background1"/>
        <w:tblCellMar>
          <w:top w:w="6" w:type="dxa"/>
          <w:left w:w="65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7495"/>
      </w:tblGrid>
      <w:tr w:rsidR="00557E65" w:rsidRPr="006F658C" w:rsidTr="00557E65">
        <w:trPr>
          <w:trHeight w:val="361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7E65" w:rsidRPr="006F658C" w:rsidRDefault="00557E65" w:rsidP="006F658C">
            <w:pPr>
              <w:spacing w:line="259" w:lineRule="auto"/>
              <w:jc w:val="center"/>
              <w:rPr>
                <w:b/>
              </w:rPr>
            </w:pPr>
            <w:r w:rsidRPr="006F658C">
              <w:rPr>
                <w:b/>
                <w:sz w:val="24"/>
              </w:rPr>
              <w:t>Opis wymogów oprogramowania biurowego – 300</w:t>
            </w:r>
            <w:r w:rsidR="00721E87">
              <w:rPr>
                <w:b/>
                <w:sz w:val="24"/>
              </w:rPr>
              <w:t xml:space="preserve"> </w:t>
            </w:r>
            <w:r w:rsidRPr="006F658C">
              <w:rPr>
                <w:b/>
                <w:sz w:val="24"/>
              </w:rPr>
              <w:t>szt.</w:t>
            </w:r>
          </w:p>
        </w:tc>
      </w:tr>
      <w:tr w:rsidR="00557E65" w:rsidTr="00557E65">
        <w:trPr>
          <w:trHeight w:val="262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876"/>
              <w:jc w:val="left"/>
            </w:pPr>
            <w:r>
              <w:rPr>
                <w:b/>
                <w:sz w:val="22"/>
              </w:rPr>
              <w:t xml:space="preserve">Na Pakiet oprogramowanie biurowego składają się następujące aplikacje: </w:t>
            </w:r>
          </w:p>
        </w:tc>
      </w:tr>
      <w:tr w:rsidR="00557E65" w:rsidTr="00557E65">
        <w:trPr>
          <w:trHeight w:val="2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lastRenderedPageBreak/>
              <w:t>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Edytor tekstów, </w:t>
            </w:r>
          </w:p>
        </w:tc>
      </w:tr>
      <w:tr w:rsidR="00557E65" w:rsidTr="00557E65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Arkusz kalkulacyjny, </w:t>
            </w:r>
          </w:p>
        </w:tc>
      </w:tr>
      <w:tr w:rsidR="00557E65" w:rsidTr="00557E65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Narzędzie do przygotowywania i prowadzenia prezentacji, </w:t>
            </w:r>
          </w:p>
        </w:tc>
      </w:tr>
      <w:tr w:rsidR="00557E65" w:rsidTr="00557E65">
        <w:trPr>
          <w:trHeight w:val="2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Narzędzie do tworzenia drukowanych materiałów informacyjnych, </w:t>
            </w:r>
          </w:p>
        </w:tc>
      </w:tr>
      <w:tr w:rsidR="00557E65" w:rsidTr="00557E65"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</w:pPr>
            <w:r>
              <w:t xml:space="preserve">Narzędzie do zarządzania informacją prywatą (pocztą elektroniczną, kalendarzem, kontaktami i zadaniami), </w:t>
            </w:r>
          </w:p>
        </w:tc>
      </w:tr>
      <w:tr w:rsidR="00557E65" w:rsidTr="00557E65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Narzędzie do tworzenia notatek. </w:t>
            </w:r>
          </w:p>
        </w:tc>
      </w:tr>
      <w:tr w:rsidR="00557E65" w:rsidTr="00557E65">
        <w:trPr>
          <w:trHeight w:val="260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6"/>
              <w:jc w:val="center"/>
            </w:pPr>
            <w:r>
              <w:rPr>
                <w:b/>
                <w:sz w:val="22"/>
              </w:rPr>
              <w:t xml:space="preserve">Wymagania ogólne Pakietu oprogramowania biurowego: </w:t>
            </w:r>
          </w:p>
        </w:tc>
      </w:tr>
      <w:tr w:rsidR="00557E65" w:rsidTr="00557E65">
        <w:trPr>
          <w:trHeight w:val="47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</w:pPr>
            <w:r>
              <w:t xml:space="preserve">Licencjonowanie Oprogramowania musi pozwalać na swobodne przenoszenie pomiędzy stacjami roboczymi (np. w przypadku wymiany stacji roboczej), </w:t>
            </w:r>
          </w:p>
        </w:tc>
      </w:tr>
      <w:tr w:rsidR="00557E65" w:rsidTr="00557E65">
        <w:trPr>
          <w:trHeight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 w:right="51"/>
            </w:pPr>
            <w:r>
              <w:t xml:space="preserve">Licencjonowanie Oprogramowania musi pozwalać Zamawiającemu na udzielanie sublicencji innym jednostkom resortu finansów podległym lub nadzorowanym przez ministra właściwego do spraw finansów publicznych, </w:t>
            </w:r>
          </w:p>
        </w:tc>
      </w:tr>
      <w:tr w:rsidR="00557E65" w:rsidTr="00557E65"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</w:pPr>
            <w:r>
              <w:t xml:space="preserve">Licencjonowanie Oprogramowania musi pozwalać na zainstalowanie Oprogramowania na licencjonowanym urządzeniu i serwerze sieciowym, </w:t>
            </w:r>
          </w:p>
        </w:tc>
      </w:tr>
      <w:tr w:rsidR="00557E65" w:rsidTr="00557E65">
        <w:trPr>
          <w:trHeight w:val="4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</w:pPr>
            <w:r>
              <w:t xml:space="preserve">Licencjonowanie Oprogramowania musi pozwalać na zainstalowanie Oprogramowania na licencjonowanym urządzeniu i jednym urządzeniu przenośnym, </w:t>
            </w:r>
          </w:p>
        </w:tc>
      </w:tr>
      <w:tr w:rsidR="00557E65" w:rsidTr="00557E65">
        <w:trPr>
          <w:trHeight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 w:right="58"/>
            </w:pPr>
            <w:r>
              <w:t xml:space="preserve">Licencjonowanie musi uwzględniać prawo (w okresie przynajmniej 5 lat) do instalacji udostępnianych przez producenta uaktualnień oraz poprawek krytycznych i opcjonalnych do zakupionej wersji oprogramowania, </w:t>
            </w:r>
          </w:p>
        </w:tc>
      </w:tr>
      <w:tr w:rsidR="00557E65" w:rsidTr="00557E65">
        <w:trPr>
          <w:trHeight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 w:right="57"/>
            </w:pPr>
            <w:r>
              <w:t xml:space="preserve">Zamawiający wymaga oferty zawierającej licencje pochodzące od jednego producenta, umożliwiające wykorzystanie wspólnych i jednolitych procedur masowej instalacji, uaktualniania, zarządzania i monitorowania, </w:t>
            </w:r>
          </w:p>
        </w:tc>
      </w:tr>
      <w:tr w:rsidR="00557E65" w:rsidTr="00557E65">
        <w:trPr>
          <w:trHeight w:val="139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 w:right="51"/>
            </w:pPr>
            <w:r>
              <w:t xml:space="preserve">Wymagane jest zapewnienie możliwości korzystania, z co najmniej dwóch wcześniejszych wersji zamawianego Oprogramowania i korzystania z kopii zamiennych (możliwość kopiowania Oprogramowania na wiele urządzeń przy wykorzystaniu jednego standardowego obrazu lub spersonalizowanego obrazu z prawem użycia jednego klucza licencyjnego), z prawem do wielokrotnego użycia jednego obrazu dysku w procesie instalacji i tworzenia kopii zapasowych, </w:t>
            </w:r>
          </w:p>
        </w:tc>
      </w:tr>
      <w:tr w:rsidR="00557E65" w:rsidTr="00557E65"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</w:pPr>
            <w:r>
              <w:t xml:space="preserve">Zamawiający wymaga udzielenia uprawnień na stronie producenta dostępu do kluczy licencyjnych w terminie do 10 dni roboczych od podpisania umowy, </w:t>
            </w:r>
          </w:p>
        </w:tc>
      </w:tr>
      <w:tr w:rsidR="00557E65" w:rsidTr="00557E65"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46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</w:pPr>
            <w:r>
              <w:t xml:space="preserve">Licencjonowanie Oprogramowania musi być przeznaczone dla jednostek rządowych na terenie  Rzeczpospolitej Polskiej (licencja typu GOV) </w:t>
            </w:r>
          </w:p>
        </w:tc>
      </w:tr>
      <w:tr w:rsidR="00557E65" w:rsidTr="00557E65">
        <w:trPr>
          <w:trHeight w:val="4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 w:rsidP="00557E65">
            <w:pPr>
              <w:spacing w:line="259" w:lineRule="auto"/>
              <w:ind w:right="145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</w:pPr>
            <w:r>
              <w:t xml:space="preserve">Pakiet oprogramowania biurowego powinien być oprogramowaniem w wersji najnowszej dostępnej w momencie złożenia ofert, </w:t>
            </w:r>
          </w:p>
        </w:tc>
      </w:tr>
      <w:tr w:rsidR="00557E65" w:rsidTr="00557E65">
        <w:trPr>
          <w:trHeight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145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 w:right="58"/>
            </w:pPr>
            <w:r>
              <w:t xml:space="preserve">Zamawiający nie dopuszcza zaoferowania pakietów biurowych oraz planów licencyjnych opartych o rozwiązania chmury oraz rozwiązań wymagających stałych opłat w okresie używania zakupionego produktu.  </w:t>
            </w:r>
          </w:p>
        </w:tc>
      </w:tr>
      <w:tr w:rsidR="00557E65" w:rsidTr="00557E65">
        <w:trPr>
          <w:trHeight w:val="515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jc w:val="center"/>
            </w:pPr>
            <w:r>
              <w:rPr>
                <w:b/>
                <w:sz w:val="22"/>
              </w:rPr>
              <w:t xml:space="preserve">Wymagania funkcjonalne, które pakiet biurowy musi spełniać poprzez wbudowane mechanizmy, bez użycia dodatkowych aplikacji: </w:t>
            </w:r>
          </w:p>
        </w:tc>
      </w:tr>
      <w:tr w:rsidR="00557E65" w:rsidTr="00557E65">
        <w:trPr>
          <w:trHeight w:val="2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Pełna polska wersja językowa interfejsu użytkownika, </w:t>
            </w:r>
          </w:p>
        </w:tc>
      </w:tr>
      <w:tr w:rsidR="00557E65" w:rsidTr="00557E65">
        <w:trPr>
          <w:trHeight w:val="47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left="43"/>
            </w:pPr>
            <w:r>
              <w:t xml:space="preserve">Oprogramowanie musi umożliwiać tworzenie i edycję dokumentów elektronicznych w ustalonym formacie, który spełnia następujące warunki: </w:t>
            </w:r>
          </w:p>
        </w:tc>
      </w:tr>
      <w:tr w:rsidR="00557E65" w:rsidTr="00557E65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57E65" w:rsidRDefault="00557E65">
            <w:pPr>
              <w:spacing w:after="160" w:line="259" w:lineRule="auto"/>
              <w:jc w:val="left"/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jc w:val="left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posiada kompletny i publicznie dostępny opis formatu,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11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 w:rsidP="00557E65">
            <w:pPr>
              <w:spacing w:after="160" w:line="259" w:lineRule="auto"/>
              <w:jc w:val="center"/>
            </w:pPr>
            <w:r>
              <w:t xml:space="preserve">   </w:t>
            </w:r>
          </w:p>
          <w:p w:rsidR="00557E65" w:rsidRDefault="00557E65" w:rsidP="00557E65">
            <w:pPr>
              <w:spacing w:after="160" w:line="259" w:lineRule="auto"/>
              <w:jc w:val="center"/>
            </w:pPr>
            <w:r>
              <w:t xml:space="preserve">   3.</w:t>
            </w:r>
          </w:p>
          <w:p w:rsidR="00557E65" w:rsidRDefault="00557E65" w:rsidP="00557E65"/>
          <w:p w:rsidR="00557E65" w:rsidRPr="00557E65" w:rsidRDefault="00557E65" w:rsidP="00557E65">
            <w:pPr>
              <w:tabs>
                <w:tab w:val="left" w:pos="578"/>
              </w:tabs>
            </w:pPr>
            <w:r>
              <w:tab/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360" w:right="57" w:hanging="360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2016, poz. 113),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69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 w:rsidP="00557E65">
            <w:pPr>
              <w:spacing w:line="259" w:lineRule="auto"/>
              <w:ind w:right="251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1"/>
            </w:pPr>
            <w:r>
              <w:t xml:space="preserve">Oprogramowanie musi umożliwiać dostosowanie dokumentów i szablonów do potrzeb instytucji oraz udostępniać narzędzia umożliwiające dystrybucję odpowiednich szablonów do właściwych odbiorców,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6"/>
            </w:pPr>
            <w:r>
              <w:t xml:space="preserve">W skład oprogramowania muszą wchodzić narzędzia programistyczne umożliwiające automatyzację pracy i wymianę danych pomiędzy dokumentami i aplikacjami (język makropoleceń, język skryptowy),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Do aplikacji musi być dostępna pełna dokumentacja w języku polskim,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</w:pPr>
            <w:r>
              <w:t xml:space="preserve">Oprogramowanie musi umożliwiać zdalną instalację pakietu oprogramowania poprzez zasady grup (GPO),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</w:pPr>
            <w:r>
              <w:t xml:space="preserve">Oprogramowanie musi umożliwiać możliwość zintegrowania uwierzytelniania użytkowników z usługą katalogową Active Directory,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69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0"/>
            </w:pPr>
            <w:r>
              <w:t xml:space="preserve">Oprogramowanie musi umożliwiać automatyczne odzyskiwanie dokumentów elektronicznych w wypadku nieoczekiwanego zamknięcia aplikacji spowodowanej np. nagłą utratą zasilania komputera.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63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7"/>
              <w:jc w:val="center"/>
            </w:pPr>
            <w:r>
              <w:rPr>
                <w:b/>
                <w:sz w:val="22"/>
              </w:rPr>
              <w:t xml:space="preserve">Edytor tekstów musi umożliwiać: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7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 w:rsidP="00557E65">
            <w:pPr>
              <w:spacing w:line="259" w:lineRule="auto"/>
              <w:ind w:right="251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1"/>
            </w:pPr>
            <w: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Wstawianie oraz formatowanie tabel,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Wstawianie oraz formatowanie obiektów graficznych,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Wstawianie oraz formatowanie obrazów i klipów wideo,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Wstawianie wykresów i tabel z arkusza kalkulacyjnego (wliczając tabele przestawne),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Automatyczne numerowanie rozdziałów, punktów, akapitów, tabel i rysunków,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Automatyczne tworzenie spisów treści,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Formatowanie nagłówków i stopek stron,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0"/>
            </w:pPr>
            <w:r>
              <w:t xml:space="preserve">Śledzenie i porównywanie zmian wprowadzonych przez użytkowników w dokumencie z zachowaniem oznaczeń miejsc wprowadzenia śledzonych zmian oraz umieszczania komentarzy,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 w:rsidP="00557E65">
            <w:pPr>
              <w:spacing w:line="259" w:lineRule="auto"/>
              <w:ind w:right="15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Nagrywanie, tworzenie i edycję makr automatyzujących wykonywanie czynności,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Określenie układu strony (pionowa/pozioma),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Wydruk dokumentów,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</w:pPr>
            <w:r>
              <w:t xml:space="preserve">Wykonywanie korespondencji seryjnej bazując na danych adresowych pochodzących z arkusza kalkulacyjnego i z narzędzia do zarządzania informacją prywatną,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9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8"/>
            </w:pPr>
            <w:r>
              <w:t xml:space="preserve">Pracę na dokumentach utworzonych przy pomocy Microsoft Word 2003 lub Microsoft Word 2007 wykorzystywanych przez Zamawiającego i inne jednostki resortu finansów podległe lub nadzorowane przez ministra właściwego do spraw finansów publicznych z zapewnieniem bezproblemowej konwersji wszystkich elementów i atrybutów dokumentu,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after="19" w:line="259" w:lineRule="auto"/>
              <w:ind w:left="43"/>
              <w:jc w:val="left"/>
            </w:pPr>
            <w:r>
              <w:t xml:space="preserve">Zabezpieczenie dokumentów hasłem przed odczytem oraz przed wprowadzaniem </w:t>
            </w:r>
          </w:p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modyfikacji,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93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2"/>
            </w:pPr>
            <w:r>
              <w:t xml:space="preserve">Wymagana jest dostępność do oferowanego edytora tekstu bezpłatnych narzędzi umożliwiających podpisanie podpisem elektronicznym pliku z zapisanym dokumentem przy pomocy certyfikatu kwalifikowanego zgodnie z wymaganiami obowiązującego w Polsce prawa.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60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7"/>
              <w:jc w:val="center"/>
            </w:pPr>
            <w:r>
              <w:rPr>
                <w:b/>
                <w:sz w:val="22"/>
              </w:rPr>
              <w:t xml:space="preserve">Arkusz kalkulacyjny musi umożliwiać: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Tworzenie raportów tabelarycznych,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  <w:jc w:val="left"/>
            </w:pPr>
            <w:r>
              <w:t xml:space="preserve">Tworzenie wykresów liniowych (wraz z linią trendu), słupkowych, kołowych,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5"/>
            </w:pPr>
            <w:r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/>
            </w:pPr>
            <w: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t>webservice</w:t>
            </w:r>
            <w:proofErr w:type="spellEnd"/>
            <w:r>
              <w:t xml:space="preserve">),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</w:tblCellMar>
        </w:tblPrEx>
        <w:trPr>
          <w:trHeight w:val="69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1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left="43" w:right="57"/>
            </w:pPr>
            <w:r>
              <w:t xml:space="preserve">Obsługę kostek OLAP oraz tworzenie i edycję kwerend bazodanowych i webowych, narzędzia wspomagające analizę statystyczną i finansową, analizę wariantową i rozwiązywanie problemów optymalizacyjnych,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 w:rsidP="00557E65">
            <w:pPr>
              <w:spacing w:line="259" w:lineRule="auto"/>
              <w:ind w:right="250"/>
              <w:jc w:val="right"/>
            </w:pPr>
            <w:r>
              <w:lastRenderedPageBreak/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Tworzenie raportów tabeli przestawnych umożliwiających dynamiczną zmianę wymiarów oraz wykresów bazujących na danych z tabeli przestawnych,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Wyszukiwanie i zamianę danych,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Wykonywanie analiz danych przy użyciu formatowania warunkowego,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Nazywanie komórek arkusza i odwoływanie się w formułach po takiej nazwie,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 w:rsidP="00557E65">
            <w:pPr>
              <w:spacing w:line="259" w:lineRule="auto"/>
              <w:ind w:right="15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Nagrywanie, tworzenie i edycję makr automatyzujących wykonywanie czynności,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Formatowanie czasu, daty i wartości finansowych z polskim formatem,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Zapis wielu arkuszy kalkulacyjnych w jednym pliku,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11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53"/>
            </w:pPr>
            <w:r>
              <w:t xml:space="preserve">Zachowanie pełnej zgodności z formatami plików utworzonych za pomocą oprogramowania Microsoft Excel 2003 oraz Microsoft Excel 2007 wykorzystywanych przez Zamawiającego i inne jednostki resortu finansów podległe lub nadzorowane przez ministra właściwego do spraw finansów publicznych, z uwzględnieniem poprawnej realizacji użytych w nich funkcji specjalnych i makropoleceń,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15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Zabezpieczenie dokumentów hasłem przed odczytem oraz przed wprowadzaniem modyfikacji.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63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51"/>
              <w:jc w:val="center"/>
            </w:pPr>
            <w:r>
              <w:rPr>
                <w:b/>
                <w:sz w:val="22"/>
              </w:rPr>
              <w:t xml:space="preserve">Narzędzie do przygotowywania i prowadzenia prezentacji musi umożliwiać: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93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after="21" w:line="259" w:lineRule="auto"/>
              <w:jc w:val="left"/>
            </w:pPr>
            <w:r>
              <w:t xml:space="preserve">Przygotowywanie prezentacji multimedialnych, które będą: </w:t>
            </w:r>
          </w:p>
          <w:p w:rsidR="00557E65" w:rsidRDefault="00557E65">
            <w:pPr>
              <w:numPr>
                <w:ilvl w:val="0"/>
                <w:numId w:val="1"/>
              </w:numPr>
              <w:spacing w:after="22" w:line="259" w:lineRule="auto"/>
              <w:ind w:hanging="360"/>
              <w:jc w:val="left"/>
            </w:pPr>
            <w:r>
              <w:t xml:space="preserve">Prezentowanie przy użyciu projektora multimedialnego, </w:t>
            </w:r>
          </w:p>
          <w:p w:rsidR="00557E65" w:rsidRDefault="00557E65">
            <w:pPr>
              <w:numPr>
                <w:ilvl w:val="0"/>
                <w:numId w:val="1"/>
              </w:numPr>
              <w:spacing w:after="21" w:line="259" w:lineRule="auto"/>
              <w:ind w:hanging="360"/>
              <w:jc w:val="left"/>
            </w:pPr>
            <w:r>
              <w:t xml:space="preserve">Drukowanie w formacie umożliwiającym robienie notatek, </w:t>
            </w:r>
          </w:p>
          <w:p w:rsidR="00557E65" w:rsidRDefault="00557E65">
            <w:pPr>
              <w:numPr>
                <w:ilvl w:val="0"/>
                <w:numId w:val="1"/>
              </w:numPr>
              <w:spacing w:line="259" w:lineRule="auto"/>
              <w:ind w:hanging="360"/>
              <w:jc w:val="left"/>
            </w:pPr>
            <w:r>
              <w:t xml:space="preserve">Zapisanie, jako prezentacja tylko do odczytu,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Nagrywanie narracji i dołączanie jej do prezentacji,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Opatrywanie slajdów notatkami dla prezentera,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Umieszczanie i formatowanie tekstów, obiektów graficznych, tabel, nagrań dźwiękowych i wideo,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Umieszczanie tabel i wykresów pochodzących z arkusza kalkulacyjnego,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Odświeżenie wykresu znajdującego się w prezentacji po zmianie danych w źródłowym arkuszu kalkulacyjnym,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Możliwość tworzenia animacji obiektów i całych slajdów,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Prowadzenie prezentacji w trybie prezentera, gdzie slajdy są widoczne na jednym monitorze lub projektorze, a na drugim widoczne są slajdy i notatki prezentera,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9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50"/>
            </w:pPr>
            <w:r>
              <w:t xml:space="preserve">Pełna zgodność z formatami plików utworzonych za pomocą oprogramowania MS PowerPoint 2003 i MS PowerPoint 2007 wykorzystywanych przez Zamawiającego i inne jednostki resortu finansów podległe lub nadzorowane przez ministra właściwego do spraw finansów publicznych.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63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ind w:right="51"/>
              <w:jc w:val="center"/>
            </w:pPr>
            <w:r>
              <w:rPr>
                <w:b/>
                <w:sz w:val="22"/>
              </w:rPr>
              <w:t xml:space="preserve">Narzędzie do tworzenia drukowanych materiałów informacyjnych musi umożliwiać: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Tworzenie i edycję drukowanych materiałów informacyjnych,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Tworzenie materiałów przy użyciu dostępnych z narzędziem szablonów: broszur, biuletynów, katalogów,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Edycję poszczególnych stron materiałów,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Podział treści na kolumny,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Umieszczanie elementów graficznych,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wykorzystanie mechanizmu korespondencji seryjnej,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Płynne przesuwanie elementów po całej stronie publikacji,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Eksport publikacji do formatu PDF oraz TIFF,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Wydruk publikacji.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515"/>
        </w:trPr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E65" w:rsidRDefault="00557E65">
            <w:pPr>
              <w:spacing w:line="259" w:lineRule="auto"/>
              <w:jc w:val="center"/>
            </w:pPr>
            <w:r>
              <w:rPr>
                <w:b/>
                <w:sz w:val="22"/>
              </w:rPr>
              <w:t xml:space="preserve">Narzędzie do zarządzania informacją prywatną (pocztą elektroniczną, kalendarzem, kontaktami i zadaniami) musi umożliwiać: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Pobieranie i wysyłanie poczty elektronicznej z serwera pocztowego,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6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Przechowywanie wiadomości na serwerze lub w lokalnym pliku tworzonym z zastosowaniem efektywnej kompresji danych,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Filtrowanie niechcianej poczty elektronicznej (SPAM) oraz określanie listy zablokowanych i bezpiecznych nadawców,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Tworzenie katalogów, pozwalających katalogować pocztę elektroniczną,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Automatyczne grupowanie poczty o tym samym tytule,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Tworzenie reguł przenoszących automatycznie nową pocztę elektroniczną do określonych katalogów bazując na słowach zawartych w tytule, adresie nadawcy i odbiorcy,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Oflagowanie poczty elektronicznej z określeniem terminu przypomnienia,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3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5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Zarządzanie kalendarzem,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3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243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Udostępnianie kalendarza innym użytkownikom,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 w:rsidP="00557E65">
            <w:pPr>
              <w:spacing w:line="259" w:lineRule="auto"/>
              <w:ind w:right="143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Przeglądanie kalendarza innych użytkowników,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143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Zapraszanie uczestników na spotkanie, co po ich akceptacji powoduje automatyczne wprowadzenie spotkania w ich kalendarzach,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43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Zarządzanie listą zadań,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43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Zlecanie zadań innym użytkownikom,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43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Zarządzanie listą kontaktów,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43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Udostępnianie listy kontaktów innym użytkownikom,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43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Przeglądanie listy kontaktów innych użytkowników,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ind w:right="143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  <w:jc w:val="left"/>
            </w:pPr>
            <w:r>
              <w:t xml:space="preserve">Możliwość przesyłania kontaktów innym użytkowników, </w:t>
            </w:r>
          </w:p>
        </w:tc>
      </w:tr>
      <w:tr w:rsidR="00557E65" w:rsidTr="00557E65">
        <w:tblPrEx>
          <w:shd w:val="clear" w:color="auto" w:fill="auto"/>
          <w:tblCellMar>
            <w:top w:w="7" w:type="dxa"/>
            <w:left w:w="108" w:type="dxa"/>
            <w:right w:w="58" w:type="dxa"/>
          </w:tblCellMar>
        </w:tblPrEx>
        <w:trPr>
          <w:trHeight w:val="46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65" w:rsidRDefault="00557E65">
            <w:pPr>
              <w:spacing w:line="259" w:lineRule="auto"/>
              <w:ind w:right="143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65" w:rsidRDefault="00557E65">
            <w:pPr>
              <w:spacing w:line="259" w:lineRule="auto"/>
            </w:pPr>
            <w:r>
              <w:t xml:space="preserve">Pełna współpraca wyżej wymienionych mechanizmów z serwerem poczty elektronicznej MS Exchange 2010 / 2013. </w:t>
            </w:r>
          </w:p>
        </w:tc>
      </w:tr>
    </w:tbl>
    <w:p w:rsidR="003F66D5" w:rsidRDefault="005E54C9">
      <w:pPr>
        <w:spacing w:line="259" w:lineRule="auto"/>
      </w:pPr>
      <w:r>
        <w:rPr>
          <w:sz w:val="22"/>
        </w:rPr>
        <w:t xml:space="preserve"> </w:t>
      </w:r>
    </w:p>
    <w:sectPr w:rsidR="003F66D5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23" w:right="1414" w:bottom="1440" w:left="1416" w:header="715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0F" w:rsidRDefault="00E90F0F">
      <w:pPr>
        <w:spacing w:line="240" w:lineRule="auto"/>
      </w:pPr>
      <w:r>
        <w:separator/>
      </w:r>
    </w:p>
  </w:endnote>
  <w:endnote w:type="continuationSeparator" w:id="0">
    <w:p w:rsidR="00E90F0F" w:rsidRDefault="00E90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D5" w:rsidRDefault="005E54C9">
    <w:pPr>
      <w:tabs>
        <w:tab w:val="center" w:pos="4537"/>
        <w:tab w:val="right" w:pos="9076"/>
      </w:tabs>
      <w:spacing w:line="259" w:lineRule="auto"/>
      <w:jc w:val="left"/>
    </w:pPr>
    <w:r>
      <w:rPr>
        <w:sz w:val="22"/>
      </w:rPr>
      <w:t xml:space="preserve">PN/44/2017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D5" w:rsidRDefault="005E54C9">
    <w:pPr>
      <w:tabs>
        <w:tab w:val="center" w:pos="4537"/>
        <w:tab w:val="right" w:pos="9076"/>
      </w:tabs>
      <w:spacing w:line="259" w:lineRule="auto"/>
      <w:jc w:val="left"/>
    </w:pPr>
    <w:r>
      <w:rPr>
        <w:sz w:val="22"/>
      </w:rPr>
      <w:t xml:space="preserve">PN/44/2017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0F" w:rsidRDefault="00E90F0F">
      <w:pPr>
        <w:spacing w:line="240" w:lineRule="auto"/>
      </w:pPr>
      <w:r>
        <w:separator/>
      </w:r>
    </w:p>
  </w:footnote>
  <w:footnote w:type="continuationSeparator" w:id="0">
    <w:p w:rsidR="00E90F0F" w:rsidRDefault="00E90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D5" w:rsidRDefault="005E54C9">
    <w:pPr>
      <w:spacing w:line="259" w:lineRule="auto"/>
      <w:ind w:right="6"/>
      <w:jc w:val="center"/>
    </w:pPr>
    <w:r>
      <w:rPr>
        <w:b/>
        <w:color w:val="00000A"/>
        <w:sz w:val="22"/>
      </w:rPr>
      <w:t>Izba Administracji Skarbowej w Warszawie</w:t>
    </w:r>
    <w:r>
      <w:rPr>
        <w:rFonts w:ascii="Calibri" w:eastAsia="Calibri" w:hAnsi="Calibri" w:cs="Calibri"/>
        <w:color w:val="00000A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3B" w:rsidRDefault="00EE4F3B" w:rsidP="00EE4F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color w:val="auto"/>
        <w:sz w:val="18"/>
        <w:szCs w:val="18"/>
      </w:rPr>
    </w:pPr>
    <w:r>
      <w:rPr>
        <w:i/>
        <w:sz w:val="18"/>
        <w:szCs w:val="18"/>
      </w:rPr>
      <w:t>Przetarg nieograniczony nr 0201-ILZ.260.64.2017</w:t>
    </w:r>
    <w:bookmarkStart w:id="1" w:name="_Hlk495313441"/>
  </w:p>
  <w:p w:rsidR="00EE4F3B" w:rsidRDefault="00EE4F3B" w:rsidP="00EE4F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Dostawa </w:t>
    </w:r>
    <w:bookmarkEnd w:id="1"/>
    <w:r>
      <w:rPr>
        <w:i/>
        <w:sz w:val="18"/>
        <w:szCs w:val="18"/>
      </w:rPr>
      <w:t xml:space="preserve">pakietów oprogramowania biurowego i systemu operacyjnego oraz  </w:t>
    </w:r>
    <w:r>
      <w:rPr>
        <w:rFonts w:eastAsia="SimSun"/>
        <w:i/>
        <w:sz w:val="18"/>
        <w:szCs w:val="18"/>
        <w:lang w:eastAsia="zh-CN" w:bidi="hi-IN"/>
      </w:rPr>
      <w:t>programu szyfrującego</w:t>
    </w:r>
  </w:p>
  <w:p w:rsidR="00EE4F3B" w:rsidRDefault="00EE4F3B" w:rsidP="00EE4F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2" w:right="-26"/>
      <w:jc w:val="right"/>
      <w:rPr>
        <w:b/>
        <w:sz w:val="24"/>
        <w:szCs w:val="24"/>
      </w:rPr>
    </w:pPr>
    <w:r>
      <w:rPr>
        <w:b/>
      </w:rPr>
      <w:t>Załącznik nr 1 do Projektu umowy</w:t>
    </w:r>
  </w:p>
  <w:p w:rsidR="003F66D5" w:rsidRDefault="003F66D5">
    <w:pPr>
      <w:spacing w:line="259" w:lineRule="auto"/>
      <w:ind w:right="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D5" w:rsidRDefault="005E54C9">
    <w:pPr>
      <w:spacing w:line="259" w:lineRule="auto"/>
      <w:ind w:right="6"/>
      <w:jc w:val="center"/>
    </w:pPr>
    <w:r>
      <w:rPr>
        <w:b/>
        <w:color w:val="00000A"/>
        <w:sz w:val="22"/>
      </w:rPr>
      <w:t>Izba Administracji Skarbowej w Warszawie</w:t>
    </w:r>
    <w:r>
      <w:rPr>
        <w:rFonts w:ascii="Calibri" w:eastAsia="Calibri" w:hAnsi="Calibri" w:cs="Calibri"/>
        <w:color w:val="00000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46"/>
    <w:multiLevelType w:val="hybridMultilevel"/>
    <w:tmpl w:val="AF56FCA2"/>
    <w:lvl w:ilvl="0" w:tplc="84182F48">
      <w:start w:val="1"/>
      <w:numFmt w:val="lowerLetter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CA5A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4317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D2D9B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E2A8B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C8C0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874E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A504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0703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D5"/>
    <w:rsid w:val="001525DD"/>
    <w:rsid w:val="003E60A9"/>
    <w:rsid w:val="003F66D5"/>
    <w:rsid w:val="00557E65"/>
    <w:rsid w:val="005E54C9"/>
    <w:rsid w:val="006F658C"/>
    <w:rsid w:val="00721E87"/>
    <w:rsid w:val="007D2091"/>
    <w:rsid w:val="00975B4F"/>
    <w:rsid w:val="00CD0B5F"/>
    <w:rsid w:val="00DD724B"/>
    <w:rsid w:val="00DF1532"/>
    <w:rsid w:val="00E27199"/>
    <w:rsid w:val="00E90F0F"/>
    <w:rsid w:val="00EE4F3B"/>
    <w:rsid w:val="00F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70CF-056F-49E9-B23E-A9A4F6B6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9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5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DD"/>
    <w:rPr>
      <w:rFonts w:ascii="Times New Roman" w:eastAsia="Times New Roman" w:hAnsi="Times New Roman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rsid w:val="00CD0B5F"/>
    <w:pPr>
      <w:spacing w:line="240" w:lineRule="auto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0B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szkoleniowy</dc:creator>
  <cp:keywords/>
  <cp:lastModifiedBy>Agnieszka Mateuszuk-Karal</cp:lastModifiedBy>
  <cp:revision>4</cp:revision>
  <dcterms:created xsi:type="dcterms:W3CDTF">2017-11-15T13:01:00Z</dcterms:created>
  <dcterms:modified xsi:type="dcterms:W3CDTF">2017-11-16T12:57:00Z</dcterms:modified>
</cp:coreProperties>
</file>