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B30" w:rsidRPr="00942EE0" w:rsidRDefault="00A02B30">
      <w:pPr>
        <w:pStyle w:val="Tekstpodstawowy21"/>
        <w:tabs>
          <w:tab w:val="left" w:pos="3180"/>
        </w:tabs>
        <w:ind w:left="0" w:firstLine="0"/>
        <w:rPr>
          <w:rFonts w:eastAsia="Nimbus Sans L" w:cs="Times New Roman"/>
          <w:b/>
          <w:color w:val="auto"/>
          <w:sz w:val="22"/>
          <w:szCs w:val="22"/>
          <w:shd w:val="clear" w:color="auto" w:fill="FFFFFF"/>
        </w:rPr>
      </w:pPr>
    </w:p>
    <w:p w:rsidR="000E2EA2" w:rsidRPr="00942EE0" w:rsidRDefault="000E2EA2" w:rsidP="000E2EA2">
      <w:pPr>
        <w:pStyle w:val="Tekstpodstawowy21"/>
        <w:tabs>
          <w:tab w:val="left" w:pos="3180"/>
        </w:tabs>
        <w:ind w:left="0" w:firstLine="0"/>
        <w:jc w:val="right"/>
        <w:rPr>
          <w:rFonts w:eastAsia="Nimbus Sans L" w:cs="Times New Roman"/>
          <w:b/>
          <w:color w:val="auto"/>
          <w:sz w:val="22"/>
          <w:szCs w:val="22"/>
          <w:shd w:val="clear" w:color="auto" w:fill="FFFFFF"/>
        </w:rPr>
      </w:pPr>
    </w:p>
    <w:p w:rsidR="000E2EA2" w:rsidRPr="00942EE0" w:rsidRDefault="00806889" w:rsidP="000E2EA2">
      <w:pPr>
        <w:pStyle w:val="Tekstpodstawowy21"/>
        <w:tabs>
          <w:tab w:val="left" w:pos="3180"/>
        </w:tabs>
        <w:ind w:left="0"/>
        <w:jc w:val="right"/>
        <w:rPr>
          <w:rFonts w:eastAsia="Nimbus Sans L" w:cs="Times New Roman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eastAsia="Nimbus Sans L" w:cs="Times New Roman"/>
          <w:b/>
          <w:bCs/>
          <w:color w:val="auto"/>
          <w:sz w:val="24"/>
          <w:szCs w:val="24"/>
          <w:shd w:val="clear" w:color="auto" w:fill="FFFFFF"/>
        </w:rPr>
        <w:t>Załącznik nr 1</w:t>
      </w:r>
      <w:bookmarkStart w:id="0" w:name="_GoBack"/>
      <w:bookmarkEnd w:id="0"/>
      <w:r w:rsidR="000E2EA2" w:rsidRPr="00942EE0">
        <w:rPr>
          <w:rFonts w:eastAsia="Nimbus Sans L" w:cs="Times New Roman"/>
          <w:b/>
          <w:bCs/>
          <w:color w:val="auto"/>
          <w:sz w:val="24"/>
          <w:szCs w:val="24"/>
          <w:shd w:val="clear" w:color="auto" w:fill="FFFFFF"/>
        </w:rPr>
        <w:t xml:space="preserve"> do SIWZ </w:t>
      </w:r>
      <w:r w:rsidR="000E2EA2" w:rsidRPr="00942EE0">
        <w:rPr>
          <w:rFonts w:eastAsia="Nimbus Sans L" w:cs="Times New Roman"/>
          <w:b/>
          <w:bCs/>
          <w:color w:val="auto"/>
          <w:sz w:val="24"/>
          <w:szCs w:val="24"/>
          <w:shd w:val="clear" w:color="auto" w:fill="FFFFFF"/>
        </w:rPr>
        <w:br/>
      </w:r>
    </w:p>
    <w:p w:rsidR="000E2EA2" w:rsidRPr="00942EE0" w:rsidRDefault="000E2EA2" w:rsidP="000E2EA2">
      <w:pPr>
        <w:pStyle w:val="Tekstpodstawowy21"/>
        <w:tabs>
          <w:tab w:val="left" w:pos="3180"/>
        </w:tabs>
        <w:ind w:left="0" w:firstLine="0"/>
        <w:rPr>
          <w:rFonts w:eastAsia="Nimbus Sans L" w:cs="Times New Roman"/>
          <w:b/>
          <w:color w:val="auto"/>
          <w:sz w:val="22"/>
          <w:szCs w:val="22"/>
          <w:u w:val="single"/>
          <w:shd w:val="clear" w:color="auto" w:fill="FFFFFF"/>
        </w:rPr>
      </w:pPr>
    </w:p>
    <w:p w:rsidR="000E2EA2" w:rsidRPr="00942EE0" w:rsidRDefault="000E2EA2" w:rsidP="000E2EA2">
      <w:pPr>
        <w:pStyle w:val="Tekstpodstawowy21"/>
        <w:tabs>
          <w:tab w:val="left" w:pos="3180"/>
        </w:tabs>
        <w:ind w:left="0" w:firstLine="0"/>
        <w:jc w:val="right"/>
        <w:rPr>
          <w:rFonts w:eastAsia="Nimbus Sans L" w:cs="Times New Roman"/>
          <w:b/>
          <w:color w:val="auto"/>
          <w:sz w:val="22"/>
          <w:szCs w:val="22"/>
          <w:u w:val="single"/>
          <w:shd w:val="clear" w:color="auto" w:fill="FFFFFF"/>
        </w:rPr>
      </w:pPr>
    </w:p>
    <w:p w:rsidR="000E2EA2" w:rsidRPr="00942EE0" w:rsidRDefault="000E2EA2" w:rsidP="000E2EA2">
      <w:pPr>
        <w:pStyle w:val="Tekstpodstawowy21"/>
        <w:tabs>
          <w:tab w:val="left" w:pos="3180"/>
        </w:tabs>
        <w:ind w:left="0" w:firstLine="0"/>
        <w:jc w:val="center"/>
        <w:rPr>
          <w:rFonts w:eastAsia="Nimbus Sans L" w:cs="Times New Roman"/>
          <w:b/>
          <w:color w:val="auto"/>
          <w:sz w:val="22"/>
          <w:szCs w:val="22"/>
          <w:u w:val="single"/>
          <w:shd w:val="clear" w:color="auto" w:fill="FFFFFF"/>
        </w:rPr>
      </w:pPr>
    </w:p>
    <w:p w:rsidR="000E2EA2" w:rsidRPr="00942EE0" w:rsidRDefault="000E2EA2" w:rsidP="000E2EA2">
      <w:pPr>
        <w:pStyle w:val="LO-normal"/>
        <w:tabs>
          <w:tab w:val="center" w:pos="4536"/>
          <w:tab w:val="right" w:pos="9072"/>
        </w:tabs>
        <w:spacing w:after="0" w:line="240" w:lineRule="auto"/>
        <w:jc w:val="both"/>
        <w:rPr>
          <w:color w:val="auto"/>
          <w:sz w:val="22"/>
        </w:rPr>
      </w:pPr>
      <w:r w:rsidRPr="00942EE0">
        <w:rPr>
          <w:color w:val="auto"/>
          <w:sz w:val="22"/>
        </w:rPr>
        <w:t xml:space="preserve">…………..…………………. </w:t>
      </w:r>
      <w:r w:rsidRPr="00942EE0">
        <w:rPr>
          <w:color w:val="auto"/>
          <w:sz w:val="22"/>
        </w:rPr>
        <w:tab/>
      </w:r>
      <w:r w:rsidR="00CF5B3C" w:rsidRPr="00942EE0">
        <w:rPr>
          <w:color w:val="auto"/>
          <w:sz w:val="22"/>
        </w:rPr>
        <w:t xml:space="preserve">                                </w:t>
      </w:r>
      <w:r w:rsidRPr="00942EE0">
        <w:rPr>
          <w:color w:val="auto"/>
          <w:sz w:val="22"/>
        </w:rPr>
        <w:tab/>
        <w:t>…………</w:t>
      </w:r>
      <w:r w:rsidR="00C466BC" w:rsidRPr="00942EE0">
        <w:rPr>
          <w:color w:val="auto"/>
          <w:sz w:val="22"/>
        </w:rPr>
        <w:t>………</w:t>
      </w:r>
      <w:r w:rsidRPr="00942EE0">
        <w:rPr>
          <w:color w:val="auto"/>
          <w:sz w:val="22"/>
        </w:rPr>
        <w:t>………………………</w:t>
      </w:r>
    </w:p>
    <w:p w:rsidR="000E2EA2" w:rsidRPr="00942EE0" w:rsidRDefault="00C466BC" w:rsidP="000E2EA2">
      <w:pPr>
        <w:pStyle w:val="LO-normal"/>
        <w:tabs>
          <w:tab w:val="center" w:pos="4536"/>
          <w:tab w:val="right" w:pos="9072"/>
        </w:tabs>
        <w:spacing w:after="0" w:line="240" w:lineRule="auto"/>
        <w:jc w:val="both"/>
        <w:rPr>
          <w:color w:val="auto"/>
          <w:sz w:val="22"/>
        </w:rPr>
      </w:pPr>
      <w:r w:rsidRPr="00942EE0">
        <w:rPr>
          <w:color w:val="auto"/>
          <w:sz w:val="22"/>
        </w:rPr>
        <w:t xml:space="preserve">      </w:t>
      </w:r>
      <w:r w:rsidR="000E2EA2" w:rsidRPr="00942EE0">
        <w:rPr>
          <w:color w:val="auto"/>
          <w:sz w:val="22"/>
        </w:rPr>
        <w:t>pieczęć firmy</w:t>
      </w:r>
      <w:r w:rsidR="000E2EA2" w:rsidRPr="00942EE0">
        <w:rPr>
          <w:color w:val="auto"/>
          <w:sz w:val="22"/>
        </w:rPr>
        <w:tab/>
      </w:r>
      <w:r w:rsidRPr="00942EE0">
        <w:rPr>
          <w:color w:val="auto"/>
          <w:sz w:val="22"/>
        </w:rPr>
        <w:t xml:space="preserve">  </w:t>
      </w:r>
      <w:r w:rsidR="000E2EA2" w:rsidRPr="00942EE0">
        <w:rPr>
          <w:color w:val="auto"/>
          <w:sz w:val="22"/>
        </w:rPr>
        <w:tab/>
        <w:t>miejscowość, data</w:t>
      </w:r>
    </w:p>
    <w:p w:rsidR="000E2EA2" w:rsidRPr="00942EE0" w:rsidRDefault="000E2EA2" w:rsidP="000E2EA2">
      <w:pPr>
        <w:pStyle w:val="LO-normal"/>
        <w:tabs>
          <w:tab w:val="center" w:pos="4536"/>
          <w:tab w:val="right" w:pos="9072"/>
        </w:tabs>
        <w:jc w:val="center"/>
        <w:rPr>
          <w:b/>
          <w:color w:val="auto"/>
          <w:sz w:val="22"/>
        </w:rPr>
      </w:pPr>
    </w:p>
    <w:p w:rsidR="000E2EA2" w:rsidRPr="00942EE0" w:rsidRDefault="000E2EA2" w:rsidP="000E2EA2">
      <w:pPr>
        <w:pStyle w:val="LO-normal"/>
        <w:tabs>
          <w:tab w:val="center" w:pos="4536"/>
          <w:tab w:val="right" w:pos="9072"/>
        </w:tabs>
        <w:jc w:val="center"/>
        <w:rPr>
          <w:b/>
          <w:color w:val="auto"/>
          <w:sz w:val="28"/>
          <w:szCs w:val="28"/>
        </w:rPr>
      </w:pPr>
      <w:r w:rsidRPr="00942EE0">
        <w:rPr>
          <w:b/>
          <w:color w:val="auto"/>
          <w:sz w:val="28"/>
          <w:szCs w:val="28"/>
        </w:rPr>
        <w:t xml:space="preserve">Zestawienie ilościowe i parametry sprzętu </w:t>
      </w:r>
    </w:p>
    <w:p w:rsidR="000E2EA2" w:rsidRPr="00942EE0" w:rsidRDefault="000E2EA2" w:rsidP="000E2EA2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2EA2" w:rsidRPr="00942EE0" w:rsidRDefault="00CF5B3C" w:rsidP="00CF5B3C">
      <w:pPr>
        <w:keepNext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42E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Macierz</w:t>
      </w:r>
      <w:r w:rsidR="00864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dyskowa</w:t>
      </w:r>
      <w:r w:rsidR="000E2EA2" w:rsidRPr="00942E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– 1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E818D7" w:rsidRPr="00942EE0" w:rsidTr="000615C3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0E2EA2" w:rsidRPr="00942EE0" w:rsidRDefault="000E2EA2" w:rsidP="000E2EA2">
            <w:pPr>
              <w:pStyle w:val="LO-normal"/>
              <w:spacing w:after="0" w:line="360" w:lineRule="auto"/>
              <w:rPr>
                <w:b/>
                <w:color w:val="auto"/>
                <w:sz w:val="22"/>
              </w:rPr>
            </w:pPr>
            <w:r w:rsidRPr="00942EE0">
              <w:rPr>
                <w:b/>
                <w:color w:val="auto"/>
                <w:sz w:val="22"/>
              </w:rPr>
              <w:t xml:space="preserve">Producent </w:t>
            </w:r>
            <w:r w:rsidRPr="00942EE0">
              <w:rPr>
                <w:b/>
                <w:color w:val="auto"/>
                <w:sz w:val="22"/>
              </w:rPr>
              <w:br/>
            </w:r>
          </w:p>
          <w:p w:rsidR="000E2EA2" w:rsidRPr="00942EE0" w:rsidRDefault="000E2EA2" w:rsidP="000E2EA2">
            <w:pPr>
              <w:pStyle w:val="LO-normal"/>
              <w:spacing w:after="0" w:line="360" w:lineRule="auto"/>
              <w:rPr>
                <w:color w:val="auto"/>
                <w:sz w:val="22"/>
              </w:rPr>
            </w:pPr>
            <w:r w:rsidRPr="00942EE0">
              <w:rPr>
                <w:color w:val="auto"/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0E2EA2" w:rsidRPr="00942EE0" w:rsidRDefault="000E2EA2" w:rsidP="000E2EA2">
            <w:pPr>
              <w:pStyle w:val="LO-normal"/>
              <w:spacing w:after="0" w:line="360" w:lineRule="auto"/>
              <w:rPr>
                <w:b/>
                <w:color w:val="auto"/>
                <w:sz w:val="22"/>
              </w:rPr>
            </w:pPr>
            <w:r w:rsidRPr="00942EE0">
              <w:rPr>
                <w:b/>
                <w:color w:val="auto"/>
                <w:sz w:val="22"/>
              </w:rPr>
              <w:t xml:space="preserve">Model, typ </w:t>
            </w:r>
            <w:r w:rsidRPr="00942EE0">
              <w:rPr>
                <w:b/>
                <w:color w:val="auto"/>
                <w:sz w:val="22"/>
              </w:rPr>
              <w:br/>
            </w:r>
          </w:p>
          <w:p w:rsidR="000E2EA2" w:rsidRPr="00942EE0" w:rsidRDefault="000E2EA2" w:rsidP="000E2EA2">
            <w:pPr>
              <w:pStyle w:val="LO-normal"/>
              <w:spacing w:after="0" w:line="360" w:lineRule="auto"/>
              <w:rPr>
                <w:color w:val="auto"/>
                <w:sz w:val="22"/>
              </w:rPr>
            </w:pPr>
            <w:r w:rsidRPr="00942EE0">
              <w:rPr>
                <w:color w:val="auto"/>
                <w:sz w:val="22"/>
              </w:rPr>
              <w:t>………………………………………………….</w:t>
            </w:r>
          </w:p>
        </w:tc>
      </w:tr>
    </w:tbl>
    <w:p w:rsidR="000E2EA2" w:rsidRPr="00942EE0" w:rsidRDefault="000E2EA2" w:rsidP="000E2EA2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02B30" w:rsidRPr="00942EE0" w:rsidRDefault="000E2EA2" w:rsidP="000E2EA2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942EE0">
        <w:rPr>
          <w:rFonts w:ascii="Times New Roman" w:eastAsia="Times New Roman" w:hAnsi="Times New Roman" w:cs="Times New Roman"/>
          <w:b/>
          <w:bCs/>
          <w:color w:val="auto"/>
        </w:rPr>
        <w:t xml:space="preserve">Specyfikacja </w:t>
      </w:r>
      <w:r w:rsidR="00CF5B3C" w:rsidRPr="00942EE0">
        <w:rPr>
          <w:rFonts w:ascii="Times New Roman" w:eastAsia="Times New Roman" w:hAnsi="Times New Roman" w:cs="Times New Roman"/>
          <w:b/>
          <w:bCs/>
          <w:color w:val="auto"/>
        </w:rPr>
        <w:t>macierzy</w:t>
      </w:r>
      <w:r w:rsidR="000615C3" w:rsidRPr="00942EE0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tbl>
      <w:tblPr>
        <w:tblW w:w="10415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33"/>
        <w:gridCol w:w="4609"/>
        <w:gridCol w:w="3479"/>
      </w:tblGrid>
      <w:tr w:rsidR="00E818D7" w:rsidRPr="00942EE0" w:rsidTr="00CF5B3C">
        <w:trPr>
          <w:cantSplit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CF5B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942EE0">
              <w:rPr>
                <w:rFonts w:ascii="Times New Roman" w:hAnsi="Times New Roman" w:cs="Times New Roman"/>
                <w:b/>
                <w:color w:val="auto"/>
                <w:sz w:val="24"/>
              </w:rPr>
              <w:t>Lp.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CF5B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942EE0">
              <w:rPr>
                <w:rFonts w:ascii="Times New Roman" w:hAnsi="Times New Roman" w:cs="Times New Roman"/>
                <w:b/>
                <w:color w:val="auto"/>
                <w:sz w:val="24"/>
              </w:rPr>
              <w:t>Cecha/Parametr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CF5B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942EE0">
              <w:rPr>
                <w:rFonts w:ascii="Times New Roman" w:hAnsi="Times New Roman" w:cs="Times New Roman"/>
                <w:b/>
                <w:color w:val="auto"/>
                <w:sz w:val="24"/>
              </w:rPr>
              <w:t>Wymagania minimalne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B3C" w:rsidRPr="00942EE0" w:rsidRDefault="00CF5B3C" w:rsidP="00CF5B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942EE0">
              <w:rPr>
                <w:rFonts w:ascii="Times New Roman" w:hAnsi="Times New Roman" w:cs="Times New Roman"/>
                <w:b/>
                <w:color w:val="auto"/>
                <w:sz w:val="24"/>
              </w:rPr>
              <w:t>Oferowane przez wykonawcę (szczegółowy opis)</w:t>
            </w:r>
          </w:p>
        </w:tc>
      </w:tr>
      <w:tr w:rsidR="00E818D7" w:rsidRPr="00942EE0" w:rsidTr="00CF5B3C">
        <w:trPr>
          <w:cantSplit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spacing w:before="120"/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>1.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spacing w:before="120"/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>Wymagania ogólne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5B3C" w:rsidRPr="00942EE0" w:rsidRDefault="00CF5B3C" w:rsidP="00802A28">
            <w:pPr>
              <w:spacing w:before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 xml:space="preserve">Przez macierz dyskową Zamawiający rozumie zestaw dysków twardych lub SSD kontrolowanych przez pojedynczą parę kontrolerów macierzowych (bez dodatkowych kontrolerów zewnętrznych, serwerów wirtualizujących, </w:t>
            </w:r>
            <w:proofErr w:type="spellStart"/>
            <w:r w:rsidRPr="00942EE0">
              <w:rPr>
                <w:rFonts w:ascii="Times New Roman" w:eastAsia="Calibri" w:hAnsi="Times New Roman" w:cs="Times New Roman"/>
                <w:color w:val="auto"/>
              </w:rPr>
              <w:t>etc</w:t>
            </w:r>
            <w:proofErr w:type="spellEnd"/>
            <w:r w:rsidRPr="00942EE0">
              <w:rPr>
                <w:rFonts w:ascii="Times New Roman" w:eastAsia="Calibri" w:hAnsi="Times New Roman" w:cs="Times New Roman"/>
                <w:color w:val="auto"/>
              </w:rPr>
              <w:t xml:space="preserve">). Dostęp do danych macierzy realizowany jest poprzez redundantną sieć 10 </w:t>
            </w:r>
            <w:proofErr w:type="spellStart"/>
            <w:r w:rsidRPr="00942EE0">
              <w:rPr>
                <w:rFonts w:ascii="Times New Roman" w:eastAsia="Calibri" w:hAnsi="Times New Roman" w:cs="Times New Roman"/>
                <w:color w:val="auto"/>
              </w:rPr>
              <w:t>GbE</w:t>
            </w:r>
            <w:proofErr w:type="spellEnd"/>
            <w:r w:rsidRPr="00942EE0">
              <w:rPr>
                <w:rFonts w:ascii="Times New Roman" w:eastAsia="Calibri" w:hAnsi="Times New Roman" w:cs="Times New Roman"/>
                <w:color w:val="auto"/>
              </w:rPr>
              <w:t xml:space="preserve"> .</w:t>
            </w:r>
          </w:p>
          <w:p w:rsidR="00CF5B3C" w:rsidRPr="00942EE0" w:rsidRDefault="00CF5B3C" w:rsidP="00802A28">
            <w:pPr>
              <w:spacing w:before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 xml:space="preserve">Macierz musi znajdować się na liście kompatybilności wykorzystywanego systemu wirtualizacji – </w:t>
            </w:r>
            <w:proofErr w:type="spellStart"/>
            <w:r w:rsidRPr="00942EE0">
              <w:rPr>
                <w:rFonts w:ascii="Times New Roman" w:eastAsia="Calibri" w:hAnsi="Times New Roman" w:cs="Times New Roman"/>
                <w:color w:val="auto"/>
              </w:rPr>
              <w:t>VMware</w:t>
            </w:r>
            <w:proofErr w:type="spellEnd"/>
            <w:r w:rsidRPr="00942EE0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spellStart"/>
            <w:r w:rsidRPr="00942EE0">
              <w:rPr>
                <w:rFonts w:ascii="Times New Roman" w:eastAsia="Calibri" w:hAnsi="Times New Roman" w:cs="Times New Roman"/>
                <w:color w:val="auto"/>
              </w:rPr>
              <w:t>ESXi</w:t>
            </w:r>
            <w:proofErr w:type="spellEnd"/>
            <w:r w:rsidRPr="00942EE0">
              <w:rPr>
                <w:rFonts w:ascii="Times New Roman" w:eastAsia="Calibri" w:hAnsi="Times New Roman" w:cs="Times New Roman"/>
                <w:color w:val="auto"/>
              </w:rPr>
              <w:t xml:space="preserve"> 6.5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B3C" w:rsidRPr="00942EE0" w:rsidRDefault="00CF5B3C" w:rsidP="00802A28">
            <w:pPr>
              <w:spacing w:before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818D7" w:rsidRPr="00942EE0" w:rsidTr="00CF5B3C">
        <w:trPr>
          <w:cantSplit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  <w:lang w:eastAsia="en-US"/>
              </w:rPr>
              <w:t>Obudowa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hAnsi="Times New Roman" w:cs="Times New Roman"/>
                <w:color w:val="auto"/>
              </w:rPr>
              <w:t xml:space="preserve">- Typu </w:t>
            </w:r>
            <w:proofErr w:type="spellStart"/>
            <w:r w:rsidRPr="00942EE0">
              <w:rPr>
                <w:rFonts w:ascii="Times New Roman" w:hAnsi="Times New Roman" w:cs="Times New Roman"/>
                <w:color w:val="auto"/>
              </w:rPr>
              <w:t>Rack</w:t>
            </w:r>
            <w:proofErr w:type="spellEnd"/>
            <w:r w:rsidRPr="00942EE0">
              <w:rPr>
                <w:rFonts w:ascii="Times New Roman" w:hAnsi="Times New Roman" w:cs="Times New Roman"/>
                <w:color w:val="auto"/>
              </w:rPr>
              <w:t xml:space="preserve"> wraz z kompletem elementów umożliwiających zainstalowanie w szafie 19"typu RACK max 4U.</w:t>
            </w:r>
          </w:p>
          <w:p w:rsidR="00CF5B3C" w:rsidRPr="00942EE0" w:rsidRDefault="00CF5B3C" w:rsidP="00802A2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hAnsi="Times New Roman" w:cs="Times New Roman"/>
                <w:color w:val="auto"/>
              </w:rPr>
              <w:t>- Obudowa powinna posiadać widoczne elementy sygnalizacyjne do informowania o stanie poprawnej pracy lub awarii macierzy.</w:t>
            </w:r>
          </w:p>
          <w:p w:rsidR="00CF5B3C" w:rsidRPr="00942EE0" w:rsidRDefault="00CF5B3C" w:rsidP="00802A2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>- Obudowa musi zawierać układ nadmiarowy dla modułów zasilania i chłodzenia umożliwiający wymianę tych elementów w razie awarii bez konieczności wyłączania macierzy ponadto macierz musi mieć możliwość jednoczesnego zasilania z dwóch niezależnych źródeł zasilania. Zanik jednego z nich nie może powodować przerwy w pracy urządzenia ani zmniejszenia jego wydajności lub utraty danych</w:t>
            </w:r>
          </w:p>
          <w:p w:rsidR="00CF5B3C" w:rsidRPr="00942EE0" w:rsidRDefault="00CF5B3C" w:rsidP="00CA46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hAnsi="Times New Roman" w:cs="Times New Roman"/>
                <w:color w:val="auto"/>
              </w:rPr>
              <w:t>- Rozbudowa o dodatkowe moduły dla obsługiwanych dysków powinna odbywać się wyłącznie poprzez zakup takich modułów bez konieczności</w:t>
            </w:r>
            <w:r w:rsidR="00CA4686" w:rsidRPr="00942EE0">
              <w:rPr>
                <w:rFonts w:ascii="Times New Roman" w:hAnsi="Times New Roman" w:cs="Times New Roman"/>
                <w:color w:val="auto"/>
              </w:rPr>
              <w:t xml:space="preserve"> ponoszenia dodatkowych kosztów przez zamawiającego związanych z zakupem licencji lub specjalnego oprogramowania aktywującego proces rozbudowy</w:t>
            </w:r>
            <w:r w:rsidRPr="00942EE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B3C" w:rsidRPr="00942EE0" w:rsidRDefault="00CF5B3C" w:rsidP="00802A2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18D7" w:rsidRPr="00942EE0" w:rsidTr="00CF5B3C">
        <w:trPr>
          <w:cantSplit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>3.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42EE0">
              <w:rPr>
                <w:rFonts w:ascii="Times New Roman" w:hAnsi="Times New Roman" w:cs="Times New Roman"/>
                <w:color w:val="auto"/>
              </w:rPr>
              <w:t>Pojemność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 xml:space="preserve">- Macierz musi zawierać min. 12 zainstalowanych dysków SAS / </w:t>
            </w:r>
            <w:proofErr w:type="spellStart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NearLine</w:t>
            </w:r>
            <w:proofErr w:type="spellEnd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 xml:space="preserve">-SAS 3.5” o pojemności min. 6TB o prędkości </w:t>
            </w:r>
            <w:proofErr w:type="spellStart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obr</w:t>
            </w:r>
            <w:proofErr w:type="spellEnd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 xml:space="preserve">. min. 7200 </w:t>
            </w:r>
            <w:proofErr w:type="spellStart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obr</w:t>
            </w:r>
            <w:proofErr w:type="spellEnd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 xml:space="preserve">/min obsługujących standard </w:t>
            </w:r>
            <w:r w:rsidRPr="00942EE0">
              <w:rPr>
                <w:rFonts w:ascii="Times New Roman" w:hAnsi="Times New Roman" w:cs="Times New Roman"/>
                <w:color w:val="auto"/>
              </w:rPr>
              <w:t>SAS-3.</w:t>
            </w:r>
          </w:p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 xml:space="preserve">- Macierz musi umożliwiać instalację dysków Solid </w:t>
            </w:r>
            <w:proofErr w:type="spellStart"/>
            <w:r w:rsidRPr="00942EE0">
              <w:rPr>
                <w:rFonts w:ascii="Times New Roman" w:eastAsia="Calibri" w:hAnsi="Times New Roman" w:cs="Times New Roman"/>
                <w:color w:val="auto"/>
              </w:rPr>
              <w:t>State</w:t>
            </w:r>
            <w:proofErr w:type="spellEnd"/>
            <w:r w:rsidRPr="00942EE0">
              <w:rPr>
                <w:rFonts w:ascii="Times New Roman" w:eastAsia="Calibri" w:hAnsi="Times New Roman" w:cs="Times New Roman"/>
                <w:color w:val="auto"/>
              </w:rPr>
              <w:t xml:space="preserve"> Drive. Wszystkie zamawiane dyski mają być dostępne do przetwarzania danych.  </w:t>
            </w:r>
          </w:p>
          <w:p w:rsidR="00CF5B3C" w:rsidRPr="00942EE0" w:rsidRDefault="00CF5B3C" w:rsidP="00802A28">
            <w:pPr>
              <w:jc w:val="both"/>
              <w:rPr>
                <w:rFonts w:ascii="Times New Roman" w:eastAsia="Arial" w:hAnsi="Times New Roman" w:cs="Times New Roman"/>
                <w:color w:val="auto"/>
                <w:lang w:eastAsia="ja-JP"/>
              </w:rPr>
            </w:pPr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- Macierz musi zapewniać możliwość wymiany dysków podczas pracy systemu (Hot-</w:t>
            </w:r>
            <w:proofErr w:type="spellStart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Swap</w:t>
            </w:r>
            <w:proofErr w:type="spellEnd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)</w:t>
            </w:r>
            <w:r w:rsidRPr="00942EE0">
              <w:rPr>
                <w:rFonts w:ascii="Times New Roman" w:eastAsia="Arial" w:hAnsi="Times New Roman" w:cs="Times New Roman"/>
                <w:color w:val="auto"/>
                <w:lang w:eastAsia="ja-JP"/>
              </w:rPr>
              <w:t xml:space="preserve"> </w:t>
            </w:r>
          </w:p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- Macierz musi umożliwiać obsługę przez kontrolery minimum 125 dysków w pojedynczym rozwiązaniu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</w:p>
        </w:tc>
      </w:tr>
      <w:tr w:rsidR="00E818D7" w:rsidRPr="00942EE0" w:rsidTr="00CF5B3C">
        <w:trPr>
          <w:cantSplit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>Kontrolery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 xml:space="preserve">- System musi posiadać 2 kontrolery RAID pracujące w układzie nadmiarowym typu </w:t>
            </w:r>
            <w:proofErr w:type="spellStart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active-active</w:t>
            </w:r>
            <w:proofErr w:type="spellEnd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 xml:space="preserve">. Każdy kontroler musi mieć możliwość jednoczesnej prezentacji wszystkich wolumenów utworzonych w ramach całego sytemu dyskowego lub pozwalać na równoczesny dostęp każdego z kontrolerów do tego samego bloku danych i posiadać minimum </w:t>
            </w:r>
            <w:r w:rsidR="00CA4686"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8</w:t>
            </w:r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 xml:space="preserve"> GB pamięci podręcznej przeznaczonej do komunikacji w sieci SAN. </w:t>
            </w:r>
          </w:p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- W przypadku awarii zasilania dane niezapisane na dyskach (np. zawartość pamięci kontrolera) muszą zostać zabezpieczone za pomocą podtrzymywania bateryjnego przez okres minimum 48h lub poprzez zrzut zawartości na dyski nieulotne.</w:t>
            </w:r>
          </w:p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 xml:space="preserve">- Macierz musi gwarantować możliwość wymiany kontrolerów w trakcie pracy urządzenia bez zatrzymywania udostępniania zasobów dla serwerów wirtualnych. </w:t>
            </w:r>
          </w:p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- Macierz powinna pozwalać na wymianę kontrolera RAID bez utraty danych zapisanych na dyskach .</w:t>
            </w:r>
          </w:p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 xml:space="preserve">- W układzie z zainstalowanymi dwoma kontrolerami RAID zawartości pamięci podręcznej obydwu kontrolerów musi być identyczna tzw. „cache mirror”. </w:t>
            </w:r>
          </w:p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- Każdy z kontrolerów RAID powinien posiadać dedykowany min. 1 interfejs RJ-45 Ethernet obsługujący połączenia z prędkością min. 100Mb/s dla zdalnej  komunikacji z oprogramowaniem zarządzającym i konfiguracyjnym macierzy.</w:t>
            </w:r>
            <w:r w:rsidR="00CA4686"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br/>
            </w:r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 xml:space="preserve"> </w:t>
            </w:r>
            <w:r w:rsidR="00CA4686"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br/>
            </w:r>
            <w:r w:rsidR="00CA4686" w:rsidRPr="00942EE0">
              <w:rPr>
                <w:rFonts w:ascii="Times New Roman" w:hAnsi="Times New Roman" w:cs="Times New Roman"/>
                <w:color w:val="auto"/>
              </w:rPr>
              <w:t>- Kontrolery macierzy muszą być oparte o procesor lub procesory wykonane w technologii wielordzeniowej o łącznej liczbie rdzeni nie mniejszej niż cztery na procesor.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</w:p>
        </w:tc>
      </w:tr>
      <w:tr w:rsidR="00E818D7" w:rsidRPr="00942EE0" w:rsidTr="00CF5B3C">
        <w:trPr>
          <w:cantSplit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>Interfejsy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 xml:space="preserve">- Oferowana macierz musi mieć minimum 2 porty 10 </w:t>
            </w:r>
            <w:proofErr w:type="spellStart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GbE</w:t>
            </w:r>
            <w:proofErr w:type="spellEnd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 xml:space="preserve"> typu SFP+ dla każdego kontrolera RAID wraz z modułami SFP+.</w:t>
            </w:r>
          </w:p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- Macierz musi umożliwiać rozbudowę każdego z kontrolerów RAID o kolejne 2 porty obsługujące protokół transmisji FC o minimalnej prędkości 16Gb/s,</w:t>
            </w:r>
          </w:p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 xml:space="preserve">- Rozbudowa portów </w:t>
            </w:r>
            <w:proofErr w:type="spellStart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j.w</w:t>
            </w:r>
            <w:proofErr w:type="spellEnd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. nie może wymagać zmiany modelu kontrolerów RAID w oferowanym rozwiązaniu, w przypadku konieczności licencjonowania tej funkcjonalności macierz ma być dostarczona z aktywną licencją na instalację i obsługę każdego z wymienionych protokołów transmisji danych.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</w:p>
        </w:tc>
      </w:tr>
      <w:tr w:rsidR="00E818D7" w:rsidRPr="00942EE0" w:rsidTr="00CF5B3C">
        <w:trPr>
          <w:cantSplit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>6.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tabs>
                <w:tab w:val="center" w:pos="4819"/>
              </w:tabs>
              <w:rPr>
                <w:rFonts w:ascii="Times New Roman" w:hAnsi="Times New Roman" w:cs="Times New Roman"/>
                <w:color w:val="auto"/>
                <w:lang w:val="x-none"/>
              </w:rPr>
            </w:pPr>
            <w:r w:rsidRPr="00942EE0">
              <w:rPr>
                <w:rFonts w:ascii="Times New Roman" w:hAnsi="Times New Roman" w:cs="Times New Roman"/>
                <w:color w:val="auto"/>
              </w:rPr>
              <w:t>RAID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>Macierz musi zapewniać poziom zabezpieczenia danych na dyskach definiowany poziomami RAID: 0, 1 ,1+0, 5, 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B3C" w:rsidRPr="00942EE0" w:rsidRDefault="00CF5B3C" w:rsidP="00802A2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818D7" w:rsidRPr="00942EE0" w:rsidTr="00CF5B3C">
        <w:trPr>
          <w:cantSplit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>7.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tabs>
                <w:tab w:val="center" w:pos="4819"/>
              </w:tabs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hAnsi="Times New Roman" w:cs="Times New Roman"/>
                <w:color w:val="auto"/>
                <w:lang w:val="x-none"/>
              </w:rPr>
              <w:t>Wymagania dla dysków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  <w:u w:val="single"/>
              </w:rPr>
              <w:t>Wsparcie dla:</w:t>
            </w:r>
          </w:p>
          <w:p w:rsidR="00CF5B3C" w:rsidRPr="00942EE0" w:rsidRDefault="00CF5B3C" w:rsidP="00802A2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 xml:space="preserve">a) dysków w technologii </w:t>
            </w:r>
            <w:r w:rsidRPr="00942EE0">
              <w:rPr>
                <w:rFonts w:ascii="Times New Roman" w:hAnsi="Times New Roman" w:cs="Times New Roman"/>
                <w:color w:val="auto"/>
              </w:rPr>
              <w:t>SAS-3</w:t>
            </w:r>
            <w:r w:rsidRPr="00942EE0">
              <w:rPr>
                <w:rFonts w:ascii="Times New Roman" w:eastAsia="Calibri" w:hAnsi="Times New Roman" w:cs="Times New Roman"/>
                <w:color w:val="auto"/>
              </w:rPr>
              <w:t xml:space="preserve"> (12Gb/s), wspierające operacje hot-plug, o pojemnościach  min. 300GB i prędkości 10000 i 15000 obrotów na minutę;</w:t>
            </w:r>
          </w:p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 xml:space="preserve">b) dysków elektronicznych </w:t>
            </w:r>
            <w:proofErr w:type="spellStart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SolidStateDrive</w:t>
            </w:r>
            <w:proofErr w:type="spellEnd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 xml:space="preserve"> wykonane w technologii hot-plug o pojemnościach min. 400GB – macierz musi zapewniać obsługę min. 24 szt. dysków SSD w całym rozwiązaniu,</w:t>
            </w:r>
          </w:p>
          <w:p w:rsidR="00CF5B3C" w:rsidRPr="00942EE0" w:rsidRDefault="00CF5B3C" w:rsidP="00802A28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 xml:space="preserve">- Macierz musi wspierać mieszaną konfigurację dysków SAS, </w:t>
            </w:r>
            <w:proofErr w:type="spellStart"/>
            <w:r w:rsidRPr="00942EE0">
              <w:rPr>
                <w:rFonts w:ascii="Times New Roman" w:eastAsia="Calibri" w:hAnsi="Times New Roman" w:cs="Times New Roman"/>
                <w:color w:val="auto"/>
              </w:rPr>
              <w:t>NearLine</w:t>
            </w:r>
            <w:proofErr w:type="spellEnd"/>
            <w:r w:rsidRPr="00942EE0">
              <w:rPr>
                <w:rFonts w:ascii="Times New Roman" w:eastAsia="Calibri" w:hAnsi="Times New Roman" w:cs="Times New Roman"/>
                <w:color w:val="auto"/>
              </w:rPr>
              <w:t xml:space="preserve">-SAS i SSD </w:t>
            </w:r>
          </w:p>
          <w:p w:rsidR="00CF5B3C" w:rsidRPr="00942EE0" w:rsidRDefault="00CF5B3C" w:rsidP="00802A28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 xml:space="preserve">- Macierz musi wspierać technologie pozwalającą na automatyczną </w:t>
            </w:r>
            <w:proofErr w:type="spellStart"/>
            <w:r w:rsidRPr="00942EE0">
              <w:rPr>
                <w:rFonts w:ascii="Times New Roman" w:eastAsia="Calibri" w:hAnsi="Times New Roman" w:cs="Times New Roman"/>
                <w:color w:val="auto"/>
              </w:rPr>
              <w:t>przedawaryjną</w:t>
            </w:r>
            <w:proofErr w:type="spellEnd"/>
            <w:r w:rsidRPr="00942EE0">
              <w:rPr>
                <w:rFonts w:ascii="Times New Roman" w:eastAsia="Calibri" w:hAnsi="Times New Roman" w:cs="Times New Roman"/>
                <w:color w:val="auto"/>
              </w:rPr>
              <w:t xml:space="preserve"> migrację zapisów i składowanych danych na dysk zapasowy.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B3C" w:rsidRPr="00942EE0" w:rsidRDefault="00CF5B3C" w:rsidP="00802A28">
            <w:pPr>
              <w:jc w:val="both"/>
              <w:rPr>
                <w:rFonts w:ascii="Times New Roman" w:eastAsia="Calibri" w:hAnsi="Times New Roman" w:cs="Times New Roman"/>
                <w:color w:val="auto"/>
                <w:u w:val="single"/>
              </w:rPr>
            </w:pPr>
          </w:p>
        </w:tc>
      </w:tr>
      <w:tr w:rsidR="00E818D7" w:rsidRPr="00942EE0" w:rsidTr="00CF5B3C">
        <w:trPr>
          <w:cantSplit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>Zarządzanie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bCs/>
                <w:color w:val="auto"/>
                <w:lang w:eastAsia="ja-JP"/>
              </w:rPr>
            </w:pPr>
            <w:r w:rsidRPr="00942EE0">
              <w:rPr>
                <w:rFonts w:ascii="Times New Roman" w:eastAsia="MS Mincho" w:hAnsi="Times New Roman" w:cs="Times New Roman"/>
                <w:bCs/>
                <w:color w:val="auto"/>
                <w:lang w:eastAsia="ja-JP"/>
              </w:rPr>
              <w:t>- Macierz musi umożliwiać definiowanie i obsługę dysków zapasowych tzw. „hot-</w:t>
            </w:r>
            <w:proofErr w:type="spellStart"/>
            <w:r w:rsidRPr="00942EE0">
              <w:rPr>
                <w:rFonts w:ascii="Times New Roman" w:eastAsia="MS Mincho" w:hAnsi="Times New Roman" w:cs="Times New Roman"/>
                <w:bCs/>
                <w:color w:val="auto"/>
                <w:lang w:eastAsia="ja-JP"/>
              </w:rPr>
              <w:t>spare</w:t>
            </w:r>
            <w:proofErr w:type="spellEnd"/>
            <w:r w:rsidRPr="00942EE0">
              <w:rPr>
                <w:rFonts w:ascii="Times New Roman" w:eastAsia="MS Mincho" w:hAnsi="Times New Roman" w:cs="Times New Roman"/>
                <w:bCs/>
                <w:color w:val="auto"/>
                <w:lang w:eastAsia="ja-JP"/>
              </w:rPr>
              <w:t>” w trybach „hot-</w:t>
            </w:r>
            <w:proofErr w:type="spellStart"/>
            <w:r w:rsidRPr="00942EE0">
              <w:rPr>
                <w:rFonts w:ascii="Times New Roman" w:eastAsia="MS Mincho" w:hAnsi="Times New Roman" w:cs="Times New Roman"/>
                <w:bCs/>
                <w:color w:val="auto"/>
                <w:lang w:eastAsia="ja-JP"/>
              </w:rPr>
              <w:t>spare</w:t>
            </w:r>
            <w:proofErr w:type="spellEnd"/>
            <w:r w:rsidRPr="00942EE0">
              <w:rPr>
                <w:rFonts w:ascii="Times New Roman" w:eastAsia="MS Mincho" w:hAnsi="Times New Roman" w:cs="Times New Roman"/>
                <w:bCs/>
                <w:color w:val="auto"/>
                <w:lang w:eastAsia="ja-JP"/>
              </w:rPr>
              <w:t>” dedykowany dla zabezpieczenia tylko wybranej grupy dyskowej RAID oraz  „hot-</w:t>
            </w:r>
            <w:proofErr w:type="spellStart"/>
            <w:r w:rsidRPr="00942EE0">
              <w:rPr>
                <w:rFonts w:ascii="Times New Roman" w:eastAsia="MS Mincho" w:hAnsi="Times New Roman" w:cs="Times New Roman"/>
                <w:bCs/>
                <w:color w:val="auto"/>
                <w:lang w:eastAsia="ja-JP"/>
              </w:rPr>
              <w:t>spare</w:t>
            </w:r>
            <w:proofErr w:type="spellEnd"/>
            <w:r w:rsidRPr="00942EE0">
              <w:rPr>
                <w:rFonts w:ascii="Times New Roman" w:eastAsia="MS Mincho" w:hAnsi="Times New Roman" w:cs="Times New Roman"/>
                <w:bCs/>
                <w:color w:val="auto"/>
                <w:lang w:eastAsia="ja-JP"/>
              </w:rPr>
              <w:t xml:space="preserve">” dla zabezpieczania dowolnej grupy dyskowej RAID lub musi umożliwiać </w:t>
            </w:r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definiowanie przestrzeni „hot-</w:t>
            </w:r>
            <w:proofErr w:type="spellStart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spare</w:t>
            </w:r>
            <w:proofErr w:type="spellEnd"/>
            <w:r w:rsidRPr="00942EE0">
              <w:rPr>
                <w:rFonts w:ascii="Times New Roman" w:eastAsia="MS Mincho" w:hAnsi="Times New Roman" w:cs="Times New Roman"/>
                <w:color w:val="auto"/>
                <w:lang w:eastAsia="ja-JP"/>
              </w:rPr>
              <w:t>” dla całej powierzchni dysków.</w:t>
            </w:r>
          </w:p>
          <w:p w:rsidR="00CF5B3C" w:rsidRPr="00942EE0" w:rsidRDefault="00CF5B3C" w:rsidP="00802A28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>- Macierz musi pozwalać na skonfigurowanie dowolnego dysku hot-plug w rozwiązaniu jako dysku zapasowego, niezależnie od miejsca jego fizycznej instalacji w dostarczonym rozwiązaniu lub utworzenie przestrzeni „</w:t>
            </w:r>
            <w:proofErr w:type="spellStart"/>
            <w:r w:rsidRPr="00942EE0">
              <w:rPr>
                <w:rFonts w:ascii="Times New Roman" w:eastAsia="Calibri" w:hAnsi="Times New Roman" w:cs="Times New Roman"/>
                <w:color w:val="auto"/>
              </w:rPr>
              <w:t>spare</w:t>
            </w:r>
            <w:proofErr w:type="spellEnd"/>
            <w:r w:rsidRPr="00942EE0">
              <w:rPr>
                <w:rFonts w:ascii="Times New Roman" w:eastAsia="Calibri" w:hAnsi="Times New Roman" w:cs="Times New Roman"/>
                <w:color w:val="auto"/>
              </w:rPr>
              <w:t>” na wszystkich zasobach dyskowych macierzy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B3C" w:rsidRPr="00942EE0" w:rsidRDefault="00CF5B3C" w:rsidP="00802A28">
            <w:pPr>
              <w:jc w:val="both"/>
              <w:rPr>
                <w:rFonts w:ascii="Times New Roman" w:eastAsia="MS Mincho" w:hAnsi="Times New Roman" w:cs="Times New Roman"/>
                <w:bCs/>
                <w:color w:val="auto"/>
                <w:lang w:eastAsia="ja-JP"/>
              </w:rPr>
            </w:pPr>
          </w:p>
        </w:tc>
      </w:tr>
      <w:tr w:rsidR="00E818D7" w:rsidRPr="00942EE0" w:rsidTr="00CF5B3C">
        <w:trPr>
          <w:cantSplit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>9.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>Funkcjonalność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 xml:space="preserve">- Wbudowane oprogramowanie macierzy musi obsługiwać połączenia z modułem zarządzania macierzy poprzez przeglądarkę WWW za pośrednictwem protokołu SSL lub poprzez dedykowaną aplikację zarządzającą oraz poprzez CLI z wykorzystaniem protokołu SSH.   </w:t>
            </w:r>
          </w:p>
          <w:p w:rsidR="00CF5B3C" w:rsidRPr="00942EE0" w:rsidRDefault="00CF5B3C" w:rsidP="00802A2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>- Komunikacja z  wbudowanym  oprogramowaniem zarządzającym macierzą musi być możliwa w trybie graficznym np. poprzez przeglądarkę WWW lub poprzez aplikację zarządzającą oraz w trybie tekstowym.</w:t>
            </w:r>
          </w:p>
          <w:p w:rsidR="00CF5B3C" w:rsidRPr="00942EE0" w:rsidRDefault="00CF5B3C" w:rsidP="00802A2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EE0">
              <w:rPr>
                <w:rFonts w:ascii="Times New Roman" w:eastAsia="Calibri" w:hAnsi="Times New Roman" w:cs="Times New Roman"/>
                <w:color w:val="auto"/>
              </w:rPr>
              <w:t>- Oprogramowanie do zarządzania musi być zintegrowane z systemem operacyjnym pamięci masowej bez konieczności dedykowania oddzielnego serwera do obsługi tego oprogramowania.</w:t>
            </w:r>
          </w:p>
          <w:p w:rsidR="00CF5B3C" w:rsidRPr="00942EE0" w:rsidRDefault="00CF5B3C" w:rsidP="00802A2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hAnsi="Times New Roman" w:cs="Times New Roman"/>
                <w:color w:val="auto"/>
              </w:rPr>
              <w:t xml:space="preserve">-  Macierz musi posiadać wsparcie dla systemów operacyjnych : MS Windows Server 2008/2012/2016, </w:t>
            </w:r>
            <w:proofErr w:type="spellStart"/>
            <w:r w:rsidRPr="00942EE0">
              <w:rPr>
                <w:rFonts w:ascii="Times New Roman" w:hAnsi="Times New Roman" w:cs="Times New Roman"/>
                <w:color w:val="auto"/>
              </w:rPr>
              <w:t>SuSE</w:t>
            </w:r>
            <w:proofErr w:type="spellEnd"/>
            <w:r w:rsidRPr="00942EE0">
              <w:rPr>
                <w:rFonts w:ascii="Times New Roman" w:hAnsi="Times New Roman" w:cs="Times New Roman"/>
                <w:color w:val="auto"/>
              </w:rPr>
              <w:t xml:space="preserve"> Linux, </w:t>
            </w:r>
            <w:proofErr w:type="spellStart"/>
            <w:r w:rsidRPr="00942EE0">
              <w:rPr>
                <w:rFonts w:ascii="Times New Roman" w:hAnsi="Times New Roman" w:cs="Times New Roman"/>
                <w:color w:val="auto"/>
              </w:rPr>
              <w:t>RedHat</w:t>
            </w:r>
            <w:proofErr w:type="spellEnd"/>
            <w:r w:rsidRPr="00942EE0">
              <w:rPr>
                <w:rFonts w:ascii="Times New Roman" w:hAnsi="Times New Roman" w:cs="Times New Roman"/>
                <w:color w:val="auto"/>
              </w:rPr>
              <w:t xml:space="preserve"> Linux,  </w:t>
            </w:r>
            <w:proofErr w:type="spellStart"/>
            <w:r w:rsidRPr="00942EE0">
              <w:rPr>
                <w:rFonts w:ascii="Times New Roman" w:hAnsi="Times New Roman" w:cs="Times New Roman"/>
                <w:color w:val="auto"/>
              </w:rPr>
              <w:t>VMWare</w:t>
            </w:r>
            <w:proofErr w:type="spellEnd"/>
            <w:r w:rsidRPr="00942EE0">
              <w:rPr>
                <w:rFonts w:ascii="Times New Roman" w:hAnsi="Times New Roman" w:cs="Times New Roman"/>
                <w:color w:val="auto"/>
              </w:rPr>
              <w:t xml:space="preserve"> 6.x </w:t>
            </w:r>
          </w:p>
          <w:p w:rsidR="00CF5B3C" w:rsidRPr="00942EE0" w:rsidRDefault="00CF5B3C" w:rsidP="00802A2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hAnsi="Times New Roman" w:cs="Times New Roman"/>
                <w:color w:val="auto"/>
              </w:rPr>
              <w:t>- Macierz musi umożliwiać wykonanie minimum 256 kopii migawkowych Aktualnie nie jest wymagane dostarczenie licencji dla tej funkcjonalności. Możliwość aktywowania za pomocą licencji w przyszłości.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B3C" w:rsidRPr="00942EE0" w:rsidRDefault="00CF5B3C" w:rsidP="00802A2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818D7" w:rsidRPr="00942EE0" w:rsidTr="00CF5B3C">
        <w:trPr>
          <w:cantSplit/>
          <w:trHeight w:val="8921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B3C" w:rsidRPr="00942EE0" w:rsidRDefault="00CF5B3C" w:rsidP="00802A2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hAnsi="Times New Roman" w:cs="Times New Roman"/>
                <w:color w:val="auto"/>
              </w:rPr>
              <w:t xml:space="preserve">- Macierz musi być dostarczona z licencją wspierającą technologie obsługi nadmiarowości ścieżek transmisji danych pomiędzy macierzą a serwerem </w:t>
            </w:r>
          </w:p>
          <w:p w:rsidR="00CF5B3C" w:rsidRPr="00942EE0" w:rsidRDefault="00CF5B3C" w:rsidP="00802A28">
            <w:pPr>
              <w:spacing w:before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hAnsi="Times New Roman" w:cs="Times New Roman"/>
                <w:color w:val="auto"/>
              </w:rPr>
              <w:t>- Macierz musi umożliwiać aktualizację oprogramowania wewnętrznego i kontrolerów RAID bez konieczności wyłączania macierzy lub bez konieczności wyłączania ścieżek logicznych FC/</w:t>
            </w:r>
            <w:proofErr w:type="spellStart"/>
            <w:r w:rsidRPr="00942EE0">
              <w:rPr>
                <w:rFonts w:ascii="Times New Roman" w:hAnsi="Times New Roman" w:cs="Times New Roman"/>
                <w:color w:val="auto"/>
              </w:rPr>
              <w:t>iSCSI</w:t>
            </w:r>
            <w:proofErr w:type="spellEnd"/>
            <w:r w:rsidRPr="00942EE0">
              <w:rPr>
                <w:rFonts w:ascii="Times New Roman" w:hAnsi="Times New Roman" w:cs="Times New Roman"/>
                <w:color w:val="auto"/>
              </w:rPr>
              <w:t xml:space="preserve"> dla podłączonych stacji/serwerów</w:t>
            </w:r>
          </w:p>
          <w:p w:rsidR="00CF5B3C" w:rsidRPr="00942EE0" w:rsidRDefault="00CF5B3C" w:rsidP="00802A28">
            <w:pPr>
              <w:spacing w:before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hAnsi="Times New Roman" w:cs="Times New Roman"/>
                <w:color w:val="auto"/>
              </w:rPr>
              <w:t>- Macierz musi umożliwiać wykonywanie w trybie on-line (tj. bez wyłączania zasilania i bez przerywania przetwarzania danych w macierzy) migracji danych:</w:t>
            </w:r>
          </w:p>
          <w:p w:rsidR="00CF5B3C" w:rsidRPr="00942EE0" w:rsidRDefault="00CF5B3C" w:rsidP="00802A28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hAnsi="Times New Roman" w:cs="Times New Roman"/>
                <w:color w:val="auto"/>
              </w:rPr>
              <w:t>ze zmianą rozmiaru woluminu,</w:t>
            </w:r>
          </w:p>
          <w:p w:rsidR="00CF5B3C" w:rsidRPr="00942EE0" w:rsidRDefault="00CF5B3C" w:rsidP="00802A28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hAnsi="Times New Roman" w:cs="Times New Roman"/>
                <w:color w:val="auto"/>
              </w:rPr>
              <w:t>ze zmianą poziomu RAID</w:t>
            </w:r>
          </w:p>
          <w:p w:rsidR="00CF5B3C" w:rsidRPr="00942EE0" w:rsidRDefault="00CF5B3C" w:rsidP="00802A28">
            <w:pPr>
              <w:spacing w:before="240" w:after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hAnsi="Times New Roman" w:cs="Times New Roman"/>
                <w:color w:val="auto"/>
              </w:rPr>
              <w:t>- Macierz musi umożliwiać uruchomienie automatycznej realokacji zasobów pomiędzy grupami dysków wykonanymi w różnych technologiach. . Aktualnie nie jest wymagane dostarczenie licencji dla tej funkcjonalności. Możliwość aktywowania za pomocą licencji w przyszłości.</w:t>
            </w:r>
          </w:p>
          <w:p w:rsidR="00CF5B3C" w:rsidRPr="00942EE0" w:rsidRDefault="00CF5B3C" w:rsidP="00802A2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hAnsi="Times New Roman" w:cs="Times New Roman"/>
                <w:color w:val="auto"/>
              </w:rPr>
              <w:t>- Macierz musi posiadać możliwość uruchamiania mechanizmów zdalnej replikacji danych, w trybie synchronicznym i asynchronicznym, z drugą macierzą tego typu lub modelem wyższym bez konieczności stosowania zewnętrznych urządzeń konwersji. Aktualnie nie jest wymagane dostarczenie licencji dla tej funkcjonalności. Możliwość aktywowania za pomocą licencji w przyszłości.</w:t>
            </w:r>
          </w:p>
          <w:p w:rsidR="00CF5B3C" w:rsidRPr="00942EE0" w:rsidRDefault="00CF5B3C" w:rsidP="00802A2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2EE0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42EE0">
              <w:rPr>
                <w:rFonts w:ascii="Times New Roman" w:hAnsi="Times New Roman" w:cs="Times New Roman"/>
                <w:bCs/>
                <w:color w:val="auto"/>
              </w:rPr>
              <w:t>Macierz musi obsługiwać mechanizmy „</w:t>
            </w:r>
            <w:proofErr w:type="spellStart"/>
            <w:r w:rsidRPr="00942EE0">
              <w:rPr>
                <w:rFonts w:ascii="Times New Roman" w:hAnsi="Times New Roman" w:cs="Times New Roman"/>
                <w:bCs/>
                <w:color w:val="auto"/>
              </w:rPr>
              <w:t>Thin</w:t>
            </w:r>
            <w:proofErr w:type="spellEnd"/>
            <w:r w:rsidRPr="00942EE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942EE0">
              <w:rPr>
                <w:rFonts w:ascii="Times New Roman" w:hAnsi="Times New Roman" w:cs="Times New Roman"/>
                <w:bCs/>
                <w:color w:val="auto"/>
              </w:rPr>
              <w:t>Provisioning</w:t>
            </w:r>
            <w:proofErr w:type="spellEnd"/>
            <w:r w:rsidRPr="00942EE0">
              <w:rPr>
                <w:rFonts w:ascii="Times New Roman" w:hAnsi="Times New Roman" w:cs="Times New Roman"/>
                <w:bCs/>
                <w:color w:val="auto"/>
              </w:rPr>
              <w:t>” czyli przydziału dla obsługiwanych środowisk woluminów logicznych o sumarycznej pojemności większej od sumy pojemności dysków fizycznych zainstalowanych w macierzy.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B3C" w:rsidRPr="00942EE0" w:rsidRDefault="00CF5B3C" w:rsidP="00802A2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2E34" w:rsidRPr="00942EE0" w:rsidRDefault="00642E34" w:rsidP="00642E3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 w:bidi="hi-IN"/>
        </w:rPr>
      </w:pPr>
      <w:r w:rsidRPr="00942EE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 w:bidi="hi-IN"/>
        </w:rPr>
        <w:t>Oświadczam, że zaoferowan</w:t>
      </w:r>
      <w:r w:rsidR="00CF5B3C" w:rsidRPr="00942EE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 w:bidi="hi-IN"/>
        </w:rPr>
        <w:t>a macierz</w:t>
      </w:r>
      <w:r w:rsidRPr="00942EE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 w:bidi="hi-IN"/>
        </w:rPr>
        <w:t xml:space="preserve"> spełnia wymagania określone w SIWZ.</w:t>
      </w:r>
    </w:p>
    <w:p w:rsidR="00CF5B3C" w:rsidRPr="00942EE0" w:rsidRDefault="00CF5B3C" w:rsidP="00642E34">
      <w:pPr>
        <w:suppressAutoHyphens/>
        <w:spacing w:after="0" w:line="360" w:lineRule="auto"/>
        <w:ind w:left="708" w:firstLine="708"/>
        <w:jc w:val="right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642E34" w:rsidRPr="00942EE0" w:rsidRDefault="00642E34" w:rsidP="00642E34">
      <w:pPr>
        <w:suppressAutoHyphens/>
        <w:spacing w:after="0" w:line="360" w:lineRule="auto"/>
        <w:ind w:left="708" w:firstLine="708"/>
        <w:jc w:val="right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zh-CN" w:bidi="hi-IN"/>
        </w:rPr>
      </w:pPr>
      <w:r w:rsidRPr="00942EE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 w:bidi="hi-IN"/>
        </w:rPr>
        <w:t>………………………………………</w:t>
      </w:r>
      <w:r w:rsidRPr="00942EE0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zh-CN" w:bidi="hi-IN"/>
        </w:rPr>
        <w:t>..............................</w:t>
      </w:r>
    </w:p>
    <w:p w:rsidR="00642E34" w:rsidRPr="00942EE0" w:rsidRDefault="00642E34" w:rsidP="00642E34">
      <w:pPr>
        <w:suppressAutoHyphens/>
        <w:spacing w:after="0" w:line="240" w:lineRule="auto"/>
        <w:ind w:left="5663" w:firstLine="709"/>
        <w:jc w:val="both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zh-CN" w:bidi="hi-IN"/>
        </w:rPr>
      </w:pPr>
      <w:r w:rsidRPr="00942EE0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zh-CN" w:bidi="hi-IN"/>
        </w:rPr>
        <w:t>(podpis i pieczęć imienna Wykonawcy lub</w:t>
      </w:r>
    </w:p>
    <w:p w:rsidR="00642E34" w:rsidRPr="00942EE0" w:rsidRDefault="00642E34" w:rsidP="00642E34">
      <w:pPr>
        <w:suppressAutoHyphens/>
        <w:spacing w:after="0" w:line="240" w:lineRule="auto"/>
        <w:ind w:left="5663" w:firstLine="709"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zh-CN" w:bidi="hi-IN"/>
        </w:rPr>
      </w:pPr>
      <w:r w:rsidRPr="00942EE0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zh-CN" w:bidi="hi-IN"/>
        </w:rPr>
        <w:t xml:space="preserve">osoby upoważnionej przez Wykonawcę) </w:t>
      </w:r>
    </w:p>
    <w:p w:rsidR="00642E34" w:rsidRPr="00942EE0" w:rsidRDefault="00642E34">
      <w:pPr>
        <w:widowControl w:val="0"/>
        <w:spacing w:after="0" w:line="240" w:lineRule="auto"/>
        <w:rPr>
          <w:rFonts w:ascii="Times New Roman" w:hAnsi="Times New Roman" w:cs="Times New Roman"/>
          <w:color w:val="auto"/>
        </w:rPr>
      </w:pPr>
      <w:r w:rsidRPr="00942EE0">
        <w:rPr>
          <w:rFonts w:ascii="Times New Roman" w:hAnsi="Times New Roman" w:cs="Times New Roman"/>
          <w:color w:val="auto"/>
        </w:rPr>
        <w:tab/>
      </w:r>
      <w:r w:rsidRPr="00942EE0">
        <w:rPr>
          <w:rFonts w:ascii="Times New Roman" w:hAnsi="Times New Roman" w:cs="Times New Roman"/>
          <w:color w:val="auto"/>
        </w:rPr>
        <w:tab/>
      </w:r>
    </w:p>
    <w:sectPr w:rsidR="00642E34" w:rsidRPr="00942EE0" w:rsidSect="000E2EA2">
      <w:headerReference w:type="default" r:id="rId8"/>
      <w:footerReference w:type="default" r:id="rId9"/>
      <w:pgSz w:w="11906" w:h="16838"/>
      <w:pgMar w:top="720" w:right="720" w:bottom="720" w:left="720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F4E" w:rsidRDefault="00910F4E">
      <w:pPr>
        <w:spacing w:after="0" w:line="240" w:lineRule="auto"/>
      </w:pPr>
      <w:r>
        <w:separator/>
      </w:r>
    </w:p>
  </w:endnote>
  <w:endnote w:type="continuationSeparator" w:id="0">
    <w:p w:rsidR="00910F4E" w:rsidRDefault="0091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 Sans L">
    <w:charset w:val="EE"/>
    <w:family w:val="auto"/>
    <w:pitch w:val="variable"/>
    <w:sig w:usb0="8000022F" w:usb1="5000204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74782"/>
      <w:docPartObj>
        <w:docPartGallery w:val="Page Numbers (Bottom of Page)"/>
        <w:docPartUnique/>
      </w:docPartObj>
    </w:sdtPr>
    <w:sdtEndPr/>
    <w:sdtContent>
      <w:p w:rsidR="00547A22" w:rsidRDefault="00547A2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06889">
          <w:rPr>
            <w:noProof/>
          </w:rPr>
          <w:t>6</w:t>
        </w:r>
        <w:r>
          <w:fldChar w:fldCharType="end"/>
        </w:r>
      </w:p>
    </w:sdtContent>
  </w:sdt>
  <w:p w:rsidR="00547A22" w:rsidRDefault="00547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F4E" w:rsidRDefault="00910F4E">
      <w:pPr>
        <w:spacing w:after="0" w:line="240" w:lineRule="auto"/>
      </w:pPr>
      <w:r>
        <w:separator/>
      </w:r>
    </w:p>
  </w:footnote>
  <w:footnote w:type="continuationSeparator" w:id="0">
    <w:p w:rsidR="00910F4E" w:rsidRDefault="0091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8B" w:rsidRDefault="0086488B" w:rsidP="0086488B">
    <w:pPr>
      <w:ind w:right="-28"/>
      <w:jc w:val="center"/>
      <w:rPr>
        <w:i/>
        <w:sz w:val="20"/>
        <w:szCs w:val="20"/>
      </w:rPr>
    </w:pPr>
  </w:p>
  <w:p w:rsidR="0086488B" w:rsidRPr="0086488B" w:rsidRDefault="0086488B" w:rsidP="0086488B">
    <w:pPr>
      <w:spacing w:after="0" w:line="240" w:lineRule="auto"/>
      <w:ind w:right="-28"/>
      <w:jc w:val="center"/>
      <w:rPr>
        <w:rFonts w:ascii="Times New Roman" w:eastAsia="Times New Roman" w:hAnsi="Times New Roman" w:cs="Times New Roman"/>
        <w:i/>
        <w:color w:val="auto"/>
        <w:sz w:val="20"/>
        <w:szCs w:val="20"/>
      </w:rPr>
    </w:pPr>
    <w:r w:rsidRPr="0086488B">
      <w:rPr>
        <w:rFonts w:ascii="Times New Roman" w:hAnsi="Times New Roman" w:cs="Times New Roman"/>
        <w:i/>
        <w:sz w:val="20"/>
        <w:szCs w:val="20"/>
      </w:rPr>
      <w:t xml:space="preserve">Przetarg nieograniczony nr 0201-ILZ.260.48.2017 </w:t>
    </w:r>
  </w:p>
  <w:p w:rsidR="0086488B" w:rsidRPr="0086488B" w:rsidRDefault="0086488B" w:rsidP="0086488B">
    <w:pPr>
      <w:spacing w:after="0" w:line="240" w:lineRule="auto"/>
      <w:ind w:right="-28"/>
      <w:jc w:val="center"/>
      <w:rPr>
        <w:rFonts w:ascii="Times New Roman" w:hAnsi="Times New Roman" w:cs="Times New Roman"/>
        <w:i/>
        <w:sz w:val="20"/>
        <w:szCs w:val="20"/>
      </w:rPr>
    </w:pPr>
    <w:r w:rsidRPr="0086488B">
      <w:rPr>
        <w:rFonts w:ascii="Times New Roman" w:hAnsi="Times New Roman" w:cs="Times New Roman"/>
        <w:i/>
        <w:sz w:val="20"/>
        <w:szCs w:val="20"/>
      </w:rPr>
      <w:t>na dostawę macierzy dyskowej wraz z oprogramowaniem dla Izby Administracji Skarbowej we Wrocławiu</w:t>
    </w:r>
  </w:p>
  <w:p w:rsidR="0086488B" w:rsidRPr="0086488B" w:rsidRDefault="0086488B" w:rsidP="00864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756"/>
    <w:multiLevelType w:val="multilevel"/>
    <w:tmpl w:val="2158B69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1A5A"/>
    <w:multiLevelType w:val="multilevel"/>
    <w:tmpl w:val="3CCCC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853D1A"/>
    <w:multiLevelType w:val="multilevel"/>
    <w:tmpl w:val="C29C708E"/>
    <w:lvl w:ilvl="0">
      <w:start w:val="1"/>
      <w:numFmt w:val="decimal"/>
      <w:suff w:val="space"/>
      <w:lvlText w:val="%1."/>
      <w:lvlJc w:val="left"/>
      <w:pPr>
        <w:ind w:left="720" w:hanging="590"/>
      </w:pPr>
      <w:rPr>
        <w:rFonts w:ascii="Times New Roman" w:hAnsi="Times New Roman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1537"/>
    <w:multiLevelType w:val="multilevel"/>
    <w:tmpl w:val="263C52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DF2948"/>
    <w:multiLevelType w:val="multilevel"/>
    <w:tmpl w:val="B4000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71F9"/>
    <w:multiLevelType w:val="multilevel"/>
    <w:tmpl w:val="59B4C0B6"/>
    <w:lvl w:ilvl="0">
      <w:start w:val="1"/>
      <w:numFmt w:val="decimal"/>
      <w:suff w:val="space"/>
      <w:lvlText w:val="%1."/>
      <w:lvlJc w:val="left"/>
      <w:pPr>
        <w:ind w:left="170" w:firstLine="1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50ECF"/>
    <w:multiLevelType w:val="multilevel"/>
    <w:tmpl w:val="AE6612BA"/>
    <w:lvl w:ilvl="0">
      <w:start w:val="1"/>
      <w:numFmt w:val="decimal"/>
      <w:suff w:val="space"/>
      <w:lvlText w:val="%1."/>
      <w:lvlJc w:val="left"/>
      <w:pPr>
        <w:ind w:left="720" w:hanging="590"/>
      </w:pPr>
      <w:rPr>
        <w:rFonts w:ascii="Times New Roman" w:hAnsi="Times New Roman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52032"/>
    <w:multiLevelType w:val="multilevel"/>
    <w:tmpl w:val="A9CEB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52E46"/>
    <w:multiLevelType w:val="multilevel"/>
    <w:tmpl w:val="EBAEF0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57543"/>
    <w:multiLevelType w:val="multilevel"/>
    <w:tmpl w:val="B33C95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9F2065"/>
    <w:multiLevelType w:val="multilevel"/>
    <w:tmpl w:val="02409172"/>
    <w:lvl w:ilvl="0">
      <w:start w:val="1"/>
      <w:numFmt w:val="decimal"/>
      <w:suff w:val="space"/>
      <w:lvlText w:val="%1."/>
      <w:lvlJc w:val="left"/>
      <w:pPr>
        <w:ind w:left="170" w:firstLine="1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15A1C"/>
    <w:multiLevelType w:val="multilevel"/>
    <w:tmpl w:val="80E09DF8"/>
    <w:lvl w:ilvl="0">
      <w:start w:val="1"/>
      <w:numFmt w:val="decimal"/>
      <w:lvlText w:val="%1."/>
      <w:lvlJc w:val="left"/>
      <w:pPr>
        <w:ind w:left="372" w:hanging="360"/>
      </w:pPr>
      <w:rPr>
        <w:rFonts w:ascii="Times New Roman" w:eastAsia="SimSun" w:hAnsi="Times New Roman" w:cs="Mangal"/>
        <w:sz w:val="20"/>
      </w:r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61AD06B4"/>
    <w:multiLevelType w:val="multilevel"/>
    <w:tmpl w:val="A4D04E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A0B00"/>
    <w:multiLevelType w:val="multilevel"/>
    <w:tmpl w:val="43DCB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30"/>
    <w:rsid w:val="00037E24"/>
    <w:rsid w:val="000615C3"/>
    <w:rsid w:val="000E2EA2"/>
    <w:rsid w:val="00350586"/>
    <w:rsid w:val="00547A22"/>
    <w:rsid w:val="005F56CB"/>
    <w:rsid w:val="00642E34"/>
    <w:rsid w:val="007F6B58"/>
    <w:rsid w:val="00806889"/>
    <w:rsid w:val="0086488B"/>
    <w:rsid w:val="008E247F"/>
    <w:rsid w:val="00910F4E"/>
    <w:rsid w:val="009255ED"/>
    <w:rsid w:val="00942EE0"/>
    <w:rsid w:val="009806F3"/>
    <w:rsid w:val="009926A8"/>
    <w:rsid w:val="00A02B30"/>
    <w:rsid w:val="00A627F2"/>
    <w:rsid w:val="00A833A5"/>
    <w:rsid w:val="00A860BF"/>
    <w:rsid w:val="00C466BC"/>
    <w:rsid w:val="00CA4686"/>
    <w:rsid w:val="00CF5B3C"/>
    <w:rsid w:val="00DA77E7"/>
    <w:rsid w:val="00E07613"/>
    <w:rsid w:val="00E818D7"/>
    <w:rsid w:val="00F1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1BEB"/>
  <w15:docId w15:val="{44A45E3A-980D-47DF-918C-D4F037D0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AAF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E31E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E31E5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73FF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73F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120A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/>
      <w:sz w:val="20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ascii="Times New Roman" w:hAnsi="Times New Roman"/>
      <w:sz w:val="20"/>
      <w:szCs w:val="22"/>
    </w:rPr>
  </w:style>
  <w:style w:type="character" w:customStyle="1" w:styleId="ListLabel15">
    <w:name w:val="ListLabel 15"/>
    <w:qFormat/>
    <w:rPr>
      <w:rFonts w:cs="Symbol"/>
      <w:color w:val="00000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/>
      <w:b w:val="0"/>
      <w:color w:val="385623"/>
      <w:sz w:val="22"/>
      <w:szCs w:val="24"/>
    </w:rPr>
  </w:style>
  <w:style w:type="character" w:customStyle="1" w:styleId="ListLabel20">
    <w:name w:val="ListLabel 20"/>
    <w:qFormat/>
    <w:rPr>
      <w:rFonts w:ascii="Times New Roman" w:eastAsia="SimSun" w:hAnsi="Times New Roman" w:cs="Mangal"/>
      <w:sz w:val="20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rFonts w:ascii="Times New Roman" w:hAnsi="Times New Roman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/>
      <w:b/>
      <w:sz w:val="22"/>
      <w:szCs w:val="22"/>
    </w:rPr>
  </w:style>
  <w:style w:type="character" w:customStyle="1" w:styleId="ListLabel41">
    <w:name w:val="ListLabel 41"/>
    <w:qFormat/>
    <w:rPr>
      <w:rFonts w:ascii="Times New Roman" w:hAnsi="Times New Roman"/>
      <w:sz w:val="20"/>
      <w:szCs w:val="22"/>
    </w:rPr>
  </w:style>
  <w:style w:type="character" w:customStyle="1" w:styleId="ListLabel42">
    <w:name w:val="ListLabel 42"/>
    <w:qFormat/>
    <w:rPr>
      <w:rFonts w:ascii="Times New Roman" w:hAnsi="Times New Roman"/>
      <w:sz w:val="20"/>
      <w:szCs w:val="22"/>
    </w:rPr>
  </w:style>
  <w:style w:type="character" w:customStyle="1" w:styleId="ListLabel43">
    <w:name w:val="ListLabel 43"/>
    <w:qFormat/>
    <w:rPr>
      <w:rFonts w:ascii="Times New Roman" w:eastAsia="SimSun" w:hAnsi="Times New Roman" w:cs="Mangal"/>
      <w:sz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Tekstpodstawowy21">
    <w:name w:val="Tekst podstawowy 21"/>
    <w:basedOn w:val="Normalny"/>
    <w:qFormat/>
    <w:rsid w:val="00AD7AAF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SimSun" w:hAnsi="Times New Roman" w:cs="Tahoma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AD7AAF"/>
    <w:pPr>
      <w:suppressAutoHyphens/>
      <w:ind w:left="720"/>
    </w:pPr>
    <w:rPr>
      <w:rFonts w:eastAsia="Calibri" w:cs="Calibri"/>
      <w:lang w:eastAsia="zh-CN"/>
    </w:rPr>
  </w:style>
  <w:style w:type="paragraph" w:customStyle="1" w:styleId="LO-normal">
    <w:name w:val="LO-normal"/>
    <w:qFormat/>
    <w:rsid w:val="00AD7AA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qFormat/>
    <w:rsid w:val="008A2E8A"/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73F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073F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120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ny"/>
    <w:qFormat/>
  </w:style>
  <w:style w:type="paragraph" w:styleId="NormalnyWeb">
    <w:name w:val="Normal (Web)"/>
    <w:basedOn w:val="Normalny"/>
    <w:uiPriority w:val="99"/>
    <w:rsid w:val="00E076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67FC-8FD4-4904-815E-9119810D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dc:description/>
  <cp:lastModifiedBy>Aleksandra Świsterska-Pietrzak</cp:lastModifiedBy>
  <cp:revision>8</cp:revision>
  <cp:lastPrinted>2017-09-29T09:42:00Z</cp:lastPrinted>
  <dcterms:created xsi:type="dcterms:W3CDTF">2017-09-22T12:09:00Z</dcterms:created>
  <dcterms:modified xsi:type="dcterms:W3CDTF">2017-09-29T09:50:00Z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